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auto"/>
          <w:w w:val="100"/>
          <w:kern w:val="0"/>
          <w:sz w:val="44"/>
          <w:szCs w:val="44"/>
          <w:highlight w:val="none"/>
          <w:lang w:val="en-US" w:eastAsia="zh-CN"/>
        </w:rPr>
      </w:pPr>
      <w:r>
        <w:rPr>
          <w:rFonts w:hint="eastAsia" w:ascii="方正小标宋_GBK" w:hAnsi="方正小标宋_GBK" w:eastAsia="方正小标宋_GBK" w:cs="方正小标宋_GBK"/>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w w:val="100"/>
          <w:kern w:val="0"/>
          <w:sz w:val="44"/>
          <w:szCs w:val="44"/>
          <w:highlight w:val="none"/>
          <w:lang w:val="en-US" w:eastAsia="zh-CN"/>
        </w:rPr>
      </w:pPr>
      <w:r>
        <w:rPr>
          <w:rFonts w:hint="eastAsia" w:ascii="方正小标宋_GBK" w:hAnsi="方正小标宋_GBK" w:eastAsia="方正小标宋_GBK" w:cs="方正小标宋_GBK"/>
          <w:b w:val="0"/>
          <w:bCs w:val="0"/>
          <w:color w:val="auto"/>
          <w:w w:val="100"/>
          <w:kern w:val="0"/>
          <w:sz w:val="44"/>
          <w:szCs w:val="44"/>
          <w:highlight w:val="none"/>
          <w:lang w:val="en-US" w:eastAsia="zh-CN"/>
        </w:rPr>
        <w:t>网上挂牌转让公告</w:t>
      </w:r>
    </w:p>
    <w:p>
      <w:pPr>
        <w:keepNext w:val="0"/>
        <w:keepLines w:val="0"/>
        <w:pageBreakBefore w:val="0"/>
        <w:tabs>
          <w:tab w:val="left" w:pos="11340"/>
        </w:tabs>
        <w:kinsoku/>
        <w:wordWrap/>
        <w:overflowPunct/>
        <w:topLinePunct w:val="0"/>
        <w:bidi w:val="0"/>
        <w:spacing w:line="520" w:lineRule="exact"/>
        <w:ind w:left="4018" w:hanging="2880" w:hangingChars="900"/>
        <w:jc w:val="center"/>
        <w:textAlignment w:val="auto"/>
        <w:rPr>
          <w:rFonts w:hint="eastAsia" w:ascii="仿宋_GB2312" w:hAnsi="仿宋_GB2312" w:eastAsia="仿宋_GB2312" w:cs="仿宋_GB2312"/>
          <w:b w:val="0"/>
          <w:bCs w:val="0"/>
          <w:color w:val="FF0000"/>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惠仲土挂（转）告[2022]00</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号</w:t>
      </w:r>
    </w:p>
    <w:p>
      <w:pPr>
        <w:keepNext w:val="0"/>
        <w:keepLines w:val="0"/>
        <w:pageBreakBefore w:val="0"/>
        <w:kinsoku/>
        <w:wordWrap/>
        <w:overflowPunct/>
        <w:topLinePunct w:val="0"/>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根据《招标拍卖挂牌</w:t>
      </w:r>
      <w:r>
        <w:rPr>
          <w:rFonts w:hint="eastAsia" w:ascii="仿宋_GB2312" w:hAnsi="仿宋_GB2312" w:eastAsia="仿宋_GB2312" w:cs="仿宋_GB2312"/>
          <w:b w:val="0"/>
          <w:bCs w:val="0"/>
          <w:color w:val="auto"/>
          <w:sz w:val="32"/>
          <w:szCs w:val="32"/>
          <w:highlight w:val="none"/>
          <w:lang w:val="en-US" w:eastAsia="zh-CN"/>
        </w:rPr>
        <w:t>出让</w:t>
      </w:r>
      <w:r>
        <w:rPr>
          <w:rFonts w:hint="eastAsia" w:ascii="仿宋_GB2312" w:hAnsi="仿宋_GB2312" w:eastAsia="仿宋_GB2312" w:cs="仿宋_GB2312"/>
          <w:b w:val="0"/>
          <w:bCs w:val="0"/>
          <w:color w:val="auto"/>
          <w:sz w:val="32"/>
          <w:szCs w:val="32"/>
          <w:highlight w:val="none"/>
        </w:rPr>
        <w:t>国有建设用地使用权规定》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国土资源部令第39号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和《广东省土地使用权交易市场管理规定》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广东省人民政府令第79号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的规定，经</w:t>
      </w:r>
      <w:r>
        <w:rPr>
          <w:rFonts w:hint="eastAsia" w:ascii="仿宋_GB2312" w:hAnsi="仿宋_GB2312" w:eastAsia="仿宋_GB2312" w:cs="仿宋_GB2312"/>
          <w:b w:val="0"/>
          <w:bCs w:val="0"/>
          <w:sz w:val="32"/>
          <w:szCs w:val="32"/>
        </w:rPr>
        <w:t>仲恺高新区国土资源分局</w:t>
      </w:r>
      <w:r>
        <w:rPr>
          <w:rFonts w:hint="eastAsia" w:ascii="仿宋_GB2312" w:hAnsi="仿宋_GB2312" w:eastAsia="仿宋_GB2312" w:cs="仿宋_GB2312"/>
          <w:b w:val="0"/>
          <w:bCs w:val="0"/>
          <w:color w:val="auto"/>
          <w:sz w:val="32"/>
          <w:szCs w:val="32"/>
          <w:highlight w:val="none"/>
        </w:rPr>
        <w:t>批准，</w:t>
      </w:r>
      <w:r>
        <w:rPr>
          <w:rFonts w:hint="eastAsia" w:ascii="仿宋_GB2312" w:hAnsi="仿宋_GB2312" w:eastAsia="仿宋_GB2312" w:cs="仿宋_GB2312"/>
          <w:b w:val="0"/>
          <w:bCs w:val="0"/>
          <w:color w:val="auto"/>
          <w:sz w:val="32"/>
          <w:szCs w:val="32"/>
          <w:highlight w:val="none"/>
          <w:lang w:val="en-US" w:eastAsia="zh-CN"/>
        </w:rPr>
        <w:t>惠州仲恺高新区潼侨镇人民政府（以下简称“潼侨镇政府”）及惠州仲恺高新区潼侨镇红岗社区移民股份经济合作社（以下简称“红岗合作社”）</w:t>
      </w:r>
      <w:r>
        <w:rPr>
          <w:rFonts w:hint="eastAsia" w:ascii="仿宋_GB2312" w:hAnsi="仿宋_GB2312" w:eastAsia="仿宋_GB2312" w:cs="仿宋_GB2312"/>
          <w:b w:val="0"/>
          <w:bCs w:val="0"/>
          <w:color w:val="auto"/>
          <w:sz w:val="32"/>
          <w:szCs w:val="32"/>
          <w:highlight w:val="none"/>
        </w:rPr>
        <w:t>决定以网上挂牌方式公开</w:t>
      </w:r>
      <w:r>
        <w:rPr>
          <w:rFonts w:hint="eastAsia" w:ascii="仿宋_GB2312" w:hAnsi="仿宋_GB2312" w:eastAsia="仿宋_GB2312" w:cs="仿宋_GB2312"/>
          <w:b w:val="0"/>
          <w:bCs w:val="0"/>
          <w:color w:val="auto"/>
          <w:sz w:val="32"/>
          <w:szCs w:val="32"/>
          <w:highlight w:val="none"/>
          <w:lang w:eastAsia="zh-CN"/>
        </w:rPr>
        <w:t>转让</w:t>
      </w:r>
      <w:r>
        <w:rPr>
          <w:rFonts w:hint="eastAsia" w:ascii="仿宋_GB2312" w:hAnsi="仿宋_GB2312" w:eastAsia="仿宋_GB2312" w:cs="仿宋_GB2312"/>
          <w:b w:val="0"/>
          <w:bCs w:val="0"/>
          <w:color w:val="auto"/>
          <w:sz w:val="32"/>
          <w:szCs w:val="32"/>
          <w:highlight w:val="none"/>
        </w:rPr>
        <w:t>下列一宗</w:t>
      </w:r>
      <w:r>
        <w:rPr>
          <w:rFonts w:hint="eastAsia" w:ascii="仿宋_GB2312" w:hAnsi="仿宋_GB2312" w:eastAsia="仿宋_GB2312" w:cs="仿宋_GB2312"/>
          <w:b w:val="0"/>
          <w:bCs w:val="0"/>
          <w:color w:val="auto"/>
          <w:sz w:val="32"/>
          <w:szCs w:val="32"/>
          <w:highlight w:val="none"/>
          <w:lang w:eastAsia="zh-CN"/>
        </w:rPr>
        <w:t>征地留用地</w:t>
      </w:r>
      <w:r>
        <w:rPr>
          <w:rFonts w:hint="eastAsia" w:ascii="仿宋_GB2312" w:hAnsi="仿宋_GB2312" w:eastAsia="仿宋_GB2312" w:cs="仿宋_GB2312"/>
          <w:b w:val="0"/>
          <w:bCs w:val="0"/>
          <w:color w:val="auto"/>
          <w:sz w:val="32"/>
          <w:szCs w:val="32"/>
          <w:highlight w:val="none"/>
        </w:rPr>
        <w:t>。现将有关事项公告如下：</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rPr>
        <w:t>网上挂牌</w:t>
      </w:r>
      <w:r>
        <w:rPr>
          <w:rFonts w:hint="eastAsia" w:ascii="仿宋_GB2312" w:hAnsi="仿宋_GB2312" w:eastAsia="仿宋_GB2312" w:cs="仿宋_GB2312"/>
          <w:b w:val="0"/>
          <w:bCs w:val="0"/>
          <w:color w:val="auto"/>
          <w:sz w:val="32"/>
          <w:szCs w:val="32"/>
          <w:highlight w:val="none"/>
          <w:lang w:eastAsia="zh-CN"/>
        </w:rPr>
        <w:t>转让</w:t>
      </w:r>
      <w:r>
        <w:rPr>
          <w:rFonts w:hint="eastAsia" w:ascii="仿宋_GB2312" w:hAnsi="仿宋_GB2312" w:eastAsia="仿宋_GB2312" w:cs="仿宋_GB2312"/>
          <w:b w:val="0"/>
          <w:bCs w:val="0"/>
          <w:color w:val="auto"/>
          <w:sz w:val="32"/>
          <w:szCs w:val="32"/>
          <w:highlight w:val="none"/>
        </w:rPr>
        <w:t>地块基本情况及规划指标要求（见附表）</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挂牌起始价及</w:t>
      </w:r>
      <w:r>
        <w:rPr>
          <w:rFonts w:hint="eastAsia" w:ascii="仿宋_GB2312" w:hAnsi="仿宋_GB2312" w:eastAsia="仿宋_GB2312" w:cs="仿宋_GB2312"/>
          <w:b w:val="0"/>
          <w:bCs w:val="0"/>
          <w:color w:val="auto"/>
          <w:sz w:val="32"/>
          <w:szCs w:val="32"/>
          <w:highlight w:val="none"/>
          <w:lang w:val="en-US" w:eastAsia="zh-CN"/>
        </w:rPr>
        <w:t>增</w:t>
      </w:r>
      <w:r>
        <w:rPr>
          <w:rFonts w:hint="eastAsia" w:ascii="仿宋_GB2312" w:hAnsi="仿宋_GB2312" w:eastAsia="仿宋_GB2312" w:cs="仿宋_GB2312"/>
          <w:b w:val="0"/>
          <w:bCs w:val="0"/>
          <w:color w:val="auto"/>
          <w:sz w:val="32"/>
          <w:szCs w:val="32"/>
          <w:highlight w:val="none"/>
        </w:rPr>
        <w:t>价幅度</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该宗地为划拨用地转让，由受让方依法依规补缴土地出让价款。补缴价款</w:t>
      </w:r>
      <w:r>
        <w:rPr>
          <w:rFonts w:hint="eastAsia" w:ascii="仿宋_GB2312" w:hAnsi="仿宋_GB2312" w:eastAsia="仿宋_GB2312" w:cs="仿宋_GB2312"/>
          <w:b w:val="0"/>
          <w:bCs w:val="0"/>
          <w:color w:val="auto"/>
          <w:sz w:val="32"/>
          <w:szCs w:val="32"/>
          <w:highlight w:val="none"/>
        </w:rPr>
        <w:t>起始价为人民币</w:t>
      </w:r>
      <w:r>
        <w:rPr>
          <w:rFonts w:hint="eastAsia" w:ascii="仿宋_GB2312" w:hAnsi="仿宋_GB2312" w:eastAsia="仿宋_GB2312" w:cs="仿宋_GB2312"/>
          <w:b w:val="0"/>
          <w:bCs w:val="0"/>
          <w:color w:val="auto"/>
          <w:sz w:val="32"/>
          <w:szCs w:val="32"/>
          <w:highlight w:val="none"/>
          <w:lang w:val="en-US" w:eastAsia="zh-CN"/>
        </w:rPr>
        <w:t>9363</w:t>
      </w:r>
      <w:r>
        <w:rPr>
          <w:rFonts w:hint="eastAsia" w:ascii="仿宋_GB2312" w:hAnsi="仿宋_GB2312" w:eastAsia="仿宋_GB2312" w:cs="仿宋_GB2312"/>
          <w:b w:val="0"/>
          <w:bCs w:val="0"/>
          <w:color w:val="auto"/>
          <w:sz w:val="32"/>
          <w:szCs w:val="32"/>
          <w:highlight w:val="none"/>
        </w:rPr>
        <w:t>万元,每次报价加价幅度为人民币</w:t>
      </w:r>
      <w:r>
        <w:rPr>
          <w:rFonts w:hint="eastAsia" w:ascii="仿宋_GB2312" w:hAnsi="仿宋_GB2312" w:eastAsia="仿宋_GB2312" w:cs="仿宋_GB2312"/>
          <w:b w:val="0"/>
          <w:bCs w:val="0"/>
          <w:color w:val="auto"/>
          <w:sz w:val="32"/>
          <w:szCs w:val="32"/>
          <w:highlight w:val="none"/>
          <w:lang w:val="en-US" w:eastAsia="zh-CN"/>
        </w:rPr>
        <w:t>200</w:t>
      </w:r>
      <w:r>
        <w:rPr>
          <w:rFonts w:hint="eastAsia" w:ascii="仿宋_GB2312" w:hAnsi="仿宋_GB2312" w:eastAsia="仿宋_GB2312" w:cs="仿宋_GB2312"/>
          <w:b w:val="0"/>
          <w:bCs w:val="0"/>
          <w:color w:val="auto"/>
          <w:sz w:val="32"/>
          <w:szCs w:val="32"/>
          <w:highlight w:val="none"/>
        </w:rPr>
        <w:t>万元的整数倍。</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三、时间安排</w:t>
      </w:r>
    </w:p>
    <w:p>
      <w:pPr>
        <w:pStyle w:val="4"/>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（一）公告时间：</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日至</w:t>
      </w:r>
      <w:r>
        <w:rPr>
          <w:rFonts w:hint="eastAsia" w:ascii="仿宋_GB2312" w:hAnsi="仿宋_GB2312" w:eastAsia="仿宋_GB2312" w:cs="仿宋_GB2312"/>
          <w:b w:val="0"/>
          <w:bCs w:val="0"/>
          <w:color w:val="auto"/>
          <w:sz w:val="32"/>
          <w:szCs w:val="32"/>
          <w:highlight w:val="none"/>
          <w:lang w:val="en-US" w:eastAsia="zh-CN"/>
        </w:rPr>
        <w:t>2022年11月28日</w:t>
      </w:r>
      <w:r>
        <w:rPr>
          <w:rFonts w:hint="eastAsia" w:ascii="仿宋_GB2312" w:hAnsi="仿宋_GB2312" w:eastAsia="仿宋_GB2312" w:cs="仿宋_GB2312"/>
          <w:b w:val="0"/>
          <w:bCs w:val="0"/>
          <w:color w:val="auto"/>
          <w:sz w:val="32"/>
          <w:szCs w:val="32"/>
          <w:highlight w:val="none"/>
          <w:lang w:eastAsia="zh-CN"/>
        </w:rPr>
        <w:t>。</w:t>
      </w:r>
    </w:p>
    <w:p>
      <w:pPr>
        <w:pStyle w:val="4"/>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（二）网上挂牌竞买时间：</w:t>
      </w:r>
      <w:r>
        <w:rPr>
          <w:rFonts w:hint="eastAsia" w:ascii="仿宋_GB2312" w:hAnsi="仿宋_GB2312" w:eastAsia="仿宋_GB2312" w:cs="仿宋_GB2312"/>
          <w:b w:val="0"/>
          <w:bCs w:val="0"/>
          <w:color w:val="auto"/>
          <w:sz w:val="32"/>
          <w:szCs w:val="32"/>
          <w:highlight w:val="none"/>
          <w:lang w:val="en-US" w:eastAsia="zh-CN"/>
        </w:rPr>
        <w:t>2022年11月28日9</w:t>
      </w:r>
      <w:r>
        <w:rPr>
          <w:rFonts w:hint="eastAsia" w:ascii="仿宋_GB2312" w:hAnsi="仿宋_GB2312" w:eastAsia="仿宋_GB2312" w:cs="仿宋_GB2312"/>
          <w:b w:val="0"/>
          <w:bCs w:val="0"/>
          <w:color w:val="auto"/>
          <w:sz w:val="32"/>
          <w:szCs w:val="32"/>
          <w:highlight w:val="none"/>
        </w:rPr>
        <w:t>时至2022年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日10时。</w:t>
      </w:r>
    </w:p>
    <w:p>
      <w:pPr>
        <w:keepNext w:val="0"/>
        <w:keepLines w:val="0"/>
        <w:pageBreakBefore w:val="0"/>
        <w:numPr>
          <w:ilvl w:val="0"/>
          <w:numId w:val="0"/>
        </w:numPr>
        <w:kinsoku/>
        <w:wordWrap/>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竞买保证金到账截止时间为：</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四、竞买资格及要求</w:t>
      </w:r>
    </w:p>
    <w:p>
      <w:pPr>
        <w:pStyle w:val="8"/>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中华人民共和国境内外的法人、自然人和其他组织（除法律法规另有规定外）具备本条规定条件的，均可申请参加竞买。申请人可以单独申请，也可以联合申请，竞买申请人必须同时具备下列条件：</w:t>
      </w:r>
    </w:p>
    <w:p>
      <w:pPr>
        <w:pStyle w:val="8"/>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（一）缴交竞买保证金4681万元人民币；</w:t>
      </w:r>
    </w:p>
    <w:p>
      <w:pPr>
        <w:pStyle w:val="8"/>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（二）拖欠地价款、闲置土地、囤地炒地的企业及其控股股东不得参与竞买。</w:t>
      </w:r>
    </w:p>
    <w:p>
      <w:pPr>
        <w:pStyle w:val="8"/>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五、需要说明的事项</w:t>
      </w:r>
    </w:p>
    <w:p>
      <w:pPr>
        <w:pStyle w:val="19"/>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一）该宗地原为潼侨镇政府及红岗合作社的征地留用地。潼侨镇政府和红岗合作社以上述征地留用地权益作为出资，缴交地价及开发建设所有投资由土地受让方（即：竞得人）负责。竞得人应返还村集体的物业分配主要内容如下：</w:t>
      </w:r>
    </w:p>
    <w:p>
      <w:pPr>
        <w:pStyle w:val="19"/>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物业分配，该宗地所建物业中须返还给潼侨镇</w:t>
      </w:r>
      <w:r>
        <w:rPr>
          <w:rFonts w:hint="eastAsia" w:ascii="仿宋_GB2312" w:hAnsi="仿宋_GB2312" w:eastAsia="仿宋_GB2312" w:cs="仿宋_GB2312"/>
          <w:highlight w:val="none"/>
          <w:lang w:val="zh-CN" w:eastAsia="zh-CN"/>
        </w:rPr>
        <w:t>政府住宅面积4139.25㎡，</w:t>
      </w:r>
      <w:r>
        <w:rPr>
          <w:rFonts w:hint="eastAsia" w:ascii="仿宋_GB2312" w:hAnsi="仿宋_GB2312" w:eastAsia="仿宋_GB2312" w:cs="仿宋_GB2312"/>
          <w:highlight w:val="none"/>
          <w:lang w:val="en-US" w:eastAsia="zh-CN"/>
        </w:rPr>
        <w:t>返还物业</w:t>
      </w:r>
      <w:r>
        <w:rPr>
          <w:rFonts w:hint="eastAsia" w:ascii="仿宋_GB2312" w:hAnsi="仿宋_GB2312" w:eastAsia="仿宋_GB2312" w:cs="仿宋_GB2312"/>
          <w:highlight w:val="none"/>
          <w:lang w:val="zh-CN" w:eastAsia="zh-CN"/>
        </w:rPr>
        <w:t>面积共4139.25㎡，停车位43个；</w:t>
      </w:r>
      <w:r>
        <w:rPr>
          <w:rFonts w:hint="eastAsia" w:ascii="仿宋_GB2312" w:hAnsi="仿宋_GB2312" w:eastAsia="仿宋_GB2312" w:cs="仿宋_GB2312"/>
          <w:highlight w:val="none"/>
          <w:lang w:val="en-US" w:eastAsia="zh-CN"/>
        </w:rPr>
        <w:t>返还给红岗合作社住宅</w:t>
      </w:r>
      <w:r>
        <w:rPr>
          <w:rFonts w:hint="eastAsia" w:ascii="仿宋_GB2312" w:hAnsi="仿宋_GB2312" w:eastAsia="仿宋_GB2312" w:cs="仿宋_GB2312"/>
          <w:highlight w:val="none"/>
          <w:lang w:val="zh-CN" w:eastAsia="zh-CN"/>
        </w:rPr>
        <w:t>面积</w:t>
      </w:r>
      <w:r>
        <w:rPr>
          <w:rFonts w:hint="eastAsia" w:ascii="仿宋_GB2312" w:hAnsi="仿宋_GB2312" w:eastAsia="仿宋_GB2312" w:cs="仿宋_GB2312"/>
          <w:highlight w:val="none"/>
          <w:lang w:val="en-US" w:eastAsia="zh-CN"/>
        </w:rPr>
        <w:t>6211.30㎡、商业</w:t>
      </w:r>
      <w:r>
        <w:rPr>
          <w:rFonts w:hint="eastAsia" w:ascii="仿宋_GB2312" w:hAnsi="仿宋_GB2312" w:eastAsia="仿宋_GB2312" w:cs="仿宋_GB2312"/>
          <w:highlight w:val="none"/>
          <w:lang w:val="zh-CN" w:eastAsia="zh-CN"/>
        </w:rPr>
        <w:t>面积</w:t>
      </w:r>
      <w:r>
        <w:rPr>
          <w:rFonts w:hint="eastAsia" w:ascii="仿宋_GB2312" w:hAnsi="仿宋_GB2312" w:eastAsia="仿宋_GB2312" w:cs="仿宋_GB2312"/>
          <w:highlight w:val="none"/>
          <w:lang w:val="en-US" w:eastAsia="zh-CN"/>
        </w:rPr>
        <w:t>2661.98㎡，返还物业</w:t>
      </w:r>
      <w:r>
        <w:rPr>
          <w:rFonts w:hint="eastAsia" w:ascii="仿宋_GB2312" w:hAnsi="仿宋_GB2312" w:eastAsia="仿宋_GB2312" w:cs="仿宋_GB2312"/>
          <w:highlight w:val="none"/>
          <w:lang w:val="zh-CN" w:eastAsia="zh-CN"/>
        </w:rPr>
        <w:t>面积共</w:t>
      </w:r>
      <w:r>
        <w:rPr>
          <w:rFonts w:hint="eastAsia" w:ascii="仿宋_GB2312" w:hAnsi="仿宋_GB2312" w:eastAsia="仿宋_GB2312" w:cs="仿宋_GB2312"/>
          <w:highlight w:val="none"/>
          <w:lang w:val="en-US" w:eastAsia="zh-CN"/>
        </w:rPr>
        <w:t>8873.28㎡，停车位62个;返还的物业不动产权证书上登记面积与合同约定面积相差不得超过3%。产权登记面积与合同约定面积发生差异在3%以内，产权登记面积大于合同约定面积时，由潼侨镇政府或红岗合作社按照备案价乘以超出的面积向竞得人支付差价; 产权登记面积小于合同约定面积时，由竞得人按照备案价乘以缺少的面积向潼侨镇政府或红岗合作社支付差价。产权登记面积大于合同约定面积的3%的部分，由双方按照备案价协商购买；</w:t>
      </w:r>
    </w:p>
    <w:p>
      <w:pPr>
        <w:pStyle w:val="19"/>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二）竞得人应当在签订《成交确认书》之日起60日内，支付两笔履约保证金：（1）按照地块土地挂牌交易总金额10%及潼侨镇政府拥有的地块面积占该地块总面积的比例确定需支付的缴交履约保证金，履约保证金汇入潼侨镇政府指定的银行专用账户内；（2）缴交合作开发履约保证金人民币3000000元整，汇入红岗移民队指定的银行专用账户内（户名：仲恺高新区潼侨镇红岗社区移民股份经济合作社，开户行：惠州农村商业银行股份有限公司侨场支行，账号：80020000004551829）。以上履约保证金是为保障合作开发建设合同能够全面、顺利地履行以及双方合同权益能够如约得到实现；</w:t>
      </w:r>
    </w:p>
    <w:p>
      <w:pPr>
        <w:pStyle w:val="19"/>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（三）其它具体合作事项及要求按留用地开发的《留用地合作开发建设合同书》（以下简称“《合作合同》”）执行；</w:t>
      </w:r>
    </w:p>
    <w:p>
      <w:pPr>
        <w:pStyle w:val="19"/>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（四）竞得人须按照《规划设计条件告知书》（案卷编号：ZK2020TJ0008）要求配建幼儿园，建成后无偿移交给仲恺高新区宣教文卫办；由仲恺高新区宣教文卫办负责提供幼儿园及托儿所建设标准、审定建设方案，</w:t>
      </w:r>
      <w:r>
        <w:rPr>
          <w:rFonts w:hint="eastAsia" w:ascii="仿宋_GB2312" w:hAnsi="仿宋_GB2312" w:eastAsia="仿宋_GB2312" w:cs="仿宋_GB2312"/>
          <w:highlight w:val="none"/>
          <w:lang w:eastAsia="zh-CN"/>
        </w:rPr>
        <w:t>并</w:t>
      </w:r>
      <w:r>
        <w:rPr>
          <w:rFonts w:hint="eastAsia" w:ascii="仿宋_GB2312" w:hAnsi="仿宋_GB2312" w:eastAsia="仿宋_GB2312" w:cs="仿宋_GB2312"/>
          <w:highlight w:val="none"/>
          <w:lang w:val="en-US" w:eastAsia="zh-CN"/>
        </w:rPr>
        <w:t>与竞得人签订幼儿园配建及监管协议；</w:t>
      </w:r>
    </w:p>
    <w:p>
      <w:pPr>
        <w:pStyle w:val="19"/>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（五）竞得人须于签订《成交确认书》之日起10个工作日内与潼侨镇政府和红岗合作社签订</w:t>
      </w:r>
      <w:r>
        <w:rPr>
          <w:rFonts w:hint="eastAsia" w:ascii="仿宋_GB2312" w:hAnsi="仿宋_GB2312" w:eastAsia="仿宋_GB2312" w:cs="仿宋_GB2312"/>
          <w:highlight w:val="none"/>
          <w:lang w:eastAsia="zh-CN"/>
        </w:rPr>
        <w:t>《合作合同》</w:t>
      </w:r>
      <w:r>
        <w:rPr>
          <w:rFonts w:hint="eastAsia" w:ascii="仿宋_GB2312" w:hAnsi="仿宋_GB2312" w:eastAsia="仿宋_GB2312" w:cs="仿宋_GB2312"/>
          <w:highlight w:val="none"/>
          <w:lang w:val="en-US" w:eastAsia="zh-CN"/>
        </w:rPr>
        <w:t>及《国有建设用地使用权转让合同》（以下简称“《转让合同》”），并与仲恺高新区国土资源分局签订《国有建设用地使用权出让合同》（以下简称“《出让合同》”）；</w:t>
      </w:r>
    </w:p>
    <w:p>
      <w:pPr>
        <w:pStyle w:val="19"/>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（六）</w:t>
      </w:r>
      <w:r>
        <w:rPr>
          <w:rFonts w:hint="eastAsia" w:ascii="仿宋_GB2312" w:hAnsi="仿宋_GB2312" w:eastAsia="仿宋_GB2312" w:cs="仿宋_GB2312"/>
          <w:highlight w:val="none"/>
          <w:lang w:eastAsia="zh-CN"/>
        </w:rPr>
        <w:t>竞得人逾期不签订《合作合同》及《转让合同》的，终止供地，定金不予退还；</w:t>
      </w:r>
    </w:p>
    <w:p>
      <w:pPr>
        <w:pStyle w:val="19"/>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（七）</w:t>
      </w:r>
      <w:r>
        <w:rPr>
          <w:rFonts w:hint="eastAsia" w:ascii="仿宋_GB2312" w:hAnsi="仿宋_GB2312" w:eastAsia="仿宋_GB2312" w:cs="仿宋_GB2312"/>
          <w:highlight w:val="none"/>
          <w:lang w:eastAsia="zh-CN"/>
        </w:rPr>
        <w:t>竞得人除缴交成交地价款外，还需按规定缴交契税等有关税费；</w:t>
      </w:r>
    </w:p>
    <w:p>
      <w:pPr>
        <w:pStyle w:val="19"/>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（八）土地使用权转、受让方</w:t>
      </w:r>
      <w:r>
        <w:rPr>
          <w:rFonts w:hint="eastAsia" w:ascii="仿宋_GB2312" w:hAnsi="仿宋_GB2312" w:eastAsia="仿宋_GB2312" w:cs="仿宋_GB2312"/>
          <w:highlight w:val="none"/>
          <w:lang w:eastAsia="zh-CN"/>
        </w:rPr>
        <w:t>需按规定缴交税费；</w:t>
      </w:r>
    </w:p>
    <w:p>
      <w:pPr>
        <w:pStyle w:val="19"/>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highlight w:val="none"/>
          <w:lang w:val="en-US" w:eastAsia="zh-CN"/>
        </w:rPr>
        <w:t>（九）宗地按现状转让</w:t>
      </w:r>
      <w:r>
        <w:rPr>
          <w:rFonts w:hint="eastAsia" w:ascii="仿宋_GB2312" w:hAnsi="仿宋_GB2312" w:eastAsia="仿宋_GB2312" w:cs="仿宋_GB2312"/>
          <w:bCs/>
          <w:szCs w:val="32"/>
          <w:highlight w:val="none"/>
          <w:lang w:val="en-US" w:eastAsia="zh-CN"/>
        </w:rPr>
        <w:t>。</w:t>
      </w:r>
    </w:p>
    <w:p>
      <w:pPr>
        <w:pStyle w:val="5"/>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竞买保证金</w:t>
      </w:r>
    </w:p>
    <w:p>
      <w:pPr>
        <w:pStyle w:val="5"/>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该宗地竞买保证金为人民币</w:t>
      </w:r>
      <w:r>
        <w:rPr>
          <w:rFonts w:hint="eastAsia" w:ascii="仿宋_GB2312" w:hAnsi="仿宋_GB2312" w:eastAsia="仿宋_GB2312" w:cs="仿宋_GB2312"/>
          <w:b w:val="0"/>
          <w:bCs w:val="0"/>
          <w:color w:val="auto"/>
          <w:sz w:val="32"/>
          <w:szCs w:val="32"/>
          <w:highlight w:val="none"/>
          <w:lang w:val="en-US" w:eastAsia="zh-CN"/>
        </w:rPr>
        <w:t>4681</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申请人应当在网上挂牌</w:t>
      </w:r>
      <w:r>
        <w:rPr>
          <w:rFonts w:hint="eastAsia" w:ascii="仿宋_GB2312" w:hAnsi="仿宋_GB2312" w:eastAsia="仿宋_GB2312" w:cs="仿宋_GB2312"/>
          <w:b w:val="0"/>
          <w:bCs w:val="0"/>
          <w:color w:val="auto"/>
          <w:sz w:val="32"/>
          <w:szCs w:val="32"/>
          <w:highlight w:val="none"/>
          <w:lang w:eastAsia="zh-CN"/>
        </w:rPr>
        <w:t>转让</w:t>
      </w:r>
      <w:r>
        <w:rPr>
          <w:rFonts w:hint="eastAsia" w:ascii="仿宋_GB2312" w:hAnsi="仿宋_GB2312" w:eastAsia="仿宋_GB2312" w:cs="仿宋_GB2312"/>
          <w:b w:val="0"/>
          <w:bCs w:val="0"/>
          <w:color w:val="auto"/>
          <w:sz w:val="32"/>
          <w:szCs w:val="32"/>
          <w:highlight w:val="none"/>
        </w:rPr>
        <w:t>竞买保证金到账截止时间前登录惠州市公共资源交易中心土地与矿业网上挂牌交易系统（以下简称“网上挂牌交易系统”</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网址：</w:t>
      </w:r>
      <w:r>
        <w:rPr>
          <w:rFonts w:hint="eastAsia" w:ascii="仿宋_GB2312" w:hAnsi="仿宋_GB2312" w:eastAsia="仿宋_GB2312" w:cs="仿宋_GB2312"/>
          <w:b w:val="0"/>
          <w:bCs w:val="0"/>
          <w:color w:val="auto"/>
          <w:sz w:val="32"/>
          <w:szCs w:val="32"/>
          <w:highlight w:val="none"/>
        </w:rPr>
        <w:t>https://www.hzgtjy.com/）获取竞买保证金支付账号</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竞买保证金到账时间以网上挂牌交易系统确认并发出《保证金到账通知书》为准。</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七、</w:t>
      </w:r>
      <w:r>
        <w:rPr>
          <w:rFonts w:hint="eastAsia" w:ascii="仿宋_GB2312" w:hAnsi="仿宋_GB2312"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w:t>
      </w:r>
      <w:r>
        <w:rPr>
          <w:rFonts w:hint="eastAsia" w:ascii="仿宋_GB2312" w:hAnsi="仿宋_GB2312" w:eastAsia="仿宋_GB2312" w:cs="仿宋_GB2312"/>
          <w:b w:val="0"/>
          <w:bCs w:val="0"/>
          <w:color w:val="auto"/>
          <w:sz w:val="32"/>
          <w:szCs w:val="32"/>
          <w:highlight w:val="none"/>
          <w:lang w:eastAsia="zh-CN"/>
        </w:rPr>
        <w:t>转让</w:t>
      </w:r>
      <w:r>
        <w:rPr>
          <w:rFonts w:hint="eastAsia" w:ascii="仿宋_GB2312" w:hAnsi="仿宋_GB2312" w:eastAsia="仿宋_GB2312" w:cs="仿宋_GB2312"/>
          <w:b w:val="0"/>
          <w:bCs w:val="0"/>
          <w:color w:val="auto"/>
          <w:sz w:val="32"/>
          <w:szCs w:val="32"/>
          <w:highlight w:val="none"/>
        </w:rPr>
        <w:t>只接受网上竞买申请，即通过网上挂牌交易系统进行，不接受电话、邮寄、书面、电子邮件及口头竞买。凡</w:t>
      </w:r>
      <w:r>
        <w:rPr>
          <w:rFonts w:hint="eastAsia" w:ascii="仿宋_GB2312" w:hAnsi="仿宋_GB2312" w:eastAsia="仿宋_GB2312" w:cs="仿宋_GB2312"/>
          <w:b w:val="0"/>
          <w:bCs w:val="0"/>
          <w:color w:val="auto"/>
          <w:sz w:val="32"/>
          <w:szCs w:val="32"/>
          <w:highlight w:val="none"/>
          <w:lang w:val="en-US" w:eastAsia="zh-CN"/>
        </w:rPr>
        <w:t>符合竞买资格要求并</w:t>
      </w:r>
      <w:r>
        <w:rPr>
          <w:rFonts w:hint="eastAsia" w:ascii="仿宋_GB2312" w:hAnsi="仿宋_GB2312" w:eastAsia="仿宋_GB2312" w:cs="仿宋_GB2312"/>
          <w:b w:val="0"/>
          <w:bCs w:val="0"/>
          <w:color w:val="auto"/>
          <w:sz w:val="32"/>
          <w:szCs w:val="32"/>
          <w:highlight w:val="none"/>
        </w:rPr>
        <w:t>办理数字证书、按要求足额交纳竞买保证金的申请人，方可参加网上挂牌交易活动。</w:t>
      </w:r>
    </w:p>
    <w:p>
      <w:pPr>
        <w:pStyle w:val="4"/>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w:t>
      </w:r>
      <w:r>
        <w:rPr>
          <w:rFonts w:hint="eastAsia" w:ascii="仿宋_GB2312" w:hAnsi="仿宋_GB2312" w:eastAsia="仿宋_GB2312" w:cs="仿宋_GB2312"/>
          <w:b w:val="0"/>
          <w:bCs w:val="0"/>
          <w:color w:val="auto"/>
          <w:sz w:val="32"/>
          <w:szCs w:val="32"/>
          <w:highlight w:val="none"/>
          <w:lang w:eastAsia="zh-CN"/>
        </w:rPr>
        <w:t>转让</w:t>
      </w:r>
      <w:r>
        <w:rPr>
          <w:rFonts w:hint="eastAsia" w:ascii="仿宋_GB2312" w:hAnsi="仿宋_GB2312" w:eastAsia="仿宋_GB2312" w:cs="仿宋_GB2312"/>
          <w:b w:val="0"/>
          <w:bCs w:val="0"/>
          <w:color w:val="auto"/>
          <w:sz w:val="32"/>
          <w:szCs w:val="32"/>
          <w:highlight w:val="none"/>
        </w:rPr>
        <w:t>实行竞买资格后置审查。竞买申请人交纳足额竞买保证金即获得竞买报价权限。</w:t>
      </w:r>
    </w:p>
    <w:p>
      <w:pPr>
        <w:pStyle w:val="5"/>
        <w:keepNext w:val="0"/>
        <w:keepLines w:val="0"/>
        <w:pageBreakBefore w:val="0"/>
        <w:widowControl w:val="0"/>
        <w:kinsoku/>
        <w:wordWrap/>
        <w:overflowPunct/>
        <w:topLinePunct w:val="0"/>
        <w:autoSpaceDE/>
        <w:autoSpaceDN/>
        <w:bidi w:val="0"/>
        <w:spacing w:before="0" w:line="5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w:t>
      </w:r>
      <w:r>
        <w:rPr>
          <w:rFonts w:hint="eastAsia" w:ascii="仿宋_GB2312" w:hAnsi="仿宋_GB2312" w:eastAsia="仿宋_GB2312" w:cs="仿宋_GB2312"/>
          <w:b w:val="0"/>
          <w:bCs w:val="0"/>
          <w:color w:val="auto"/>
          <w:sz w:val="32"/>
          <w:szCs w:val="32"/>
          <w:highlight w:val="none"/>
        </w:rPr>
        <w:t>竞买人电子报价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电子限时竞价</w:t>
      </w:r>
    </w:p>
    <w:p>
      <w:pPr>
        <w:pStyle w:val="4"/>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竞买人须详细阅读本宗地网上挂牌</w:t>
      </w:r>
      <w:r>
        <w:rPr>
          <w:rFonts w:hint="eastAsia" w:ascii="仿宋_GB2312" w:hAnsi="仿宋_GB2312" w:eastAsia="仿宋_GB2312" w:cs="仿宋_GB2312"/>
          <w:b w:val="0"/>
          <w:bCs w:val="0"/>
          <w:color w:val="auto"/>
          <w:sz w:val="32"/>
          <w:szCs w:val="32"/>
          <w:highlight w:val="none"/>
          <w:lang w:eastAsia="zh-CN"/>
        </w:rPr>
        <w:t>转让</w:t>
      </w:r>
      <w:r>
        <w:rPr>
          <w:rFonts w:hint="eastAsia" w:ascii="仿宋_GB2312" w:hAnsi="仿宋_GB2312" w:eastAsia="仿宋_GB2312" w:cs="仿宋_GB2312"/>
          <w:b w:val="0"/>
          <w:bCs w:val="0"/>
          <w:color w:val="auto"/>
          <w:sz w:val="32"/>
          <w:szCs w:val="32"/>
          <w:highlight w:val="none"/>
        </w:rPr>
        <w:t>公告、竞买须知及网上挂牌交易系统操作指南，熟练操作网上挂牌交易系统，按竞买规则进行电子报价及电子限时竞价。</w:t>
      </w:r>
    </w:p>
    <w:p>
      <w:pPr>
        <w:pStyle w:val="4"/>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九、</w:t>
      </w:r>
      <w:r>
        <w:rPr>
          <w:rFonts w:hint="eastAsia" w:ascii="仿宋_GB2312" w:hAnsi="仿宋_GB2312" w:eastAsia="仿宋_GB2312" w:cs="仿宋_GB2312"/>
          <w:b w:val="0"/>
          <w:bCs w:val="0"/>
          <w:color w:val="auto"/>
          <w:sz w:val="32"/>
          <w:szCs w:val="32"/>
          <w:highlight w:val="none"/>
        </w:rPr>
        <w:t>确定成交候选人</w:t>
      </w:r>
    </w:p>
    <w:p>
      <w:pPr>
        <w:pStyle w:val="4"/>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国有建设用地使用权网上挂牌</w:t>
      </w:r>
      <w:r>
        <w:rPr>
          <w:rFonts w:hint="eastAsia" w:ascii="仿宋_GB2312" w:hAnsi="仿宋_GB2312" w:eastAsia="仿宋_GB2312" w:cs="仿宋_GB2312"/>
          <w:b w:val="0"/>
          <w:bCs w:val="0"/>
          <w:color w:val="auto"/>
          <w:sz w:val="32"/>
          <w:szCs w:val="32"/>
          <w:highlight w:val="none"/>
          <w:lang w:eastAsia="zh-CN"/>
        </w:rPr>
        <w:t>转让</w:t>
      </w:r>
      <w:r>
        <w:rPr>
          <w:rFonts w:hint="eastAsia" w:ascii="仿宋_GB2312" w:hAnsi="仿宋_GB2312" w:eastAsia="仿宋_GB2312" w:cs="仿宋_GB2312"/>
          <w:b w:val="0"/>
          <w:bCs w:val="0"/>
          <w:color w:val="auto"/>
          <w:sz w:val="32"/>
          <w:szCs w:val="32"/>
          <w:highlight w:val="none"/>
        </w:rPr>
        <w:t>为无底价挂牌</w:t>
      </w:r>
      <w:r>
        <w:rPr>
          <w:rFonts w:hint="default" w:ascii="Times New Roman" w:hAnsi="Times New Roman" w:eastAsia="仿宋_GB2312" w:cs="Times New Roman"/>
          <w:color w:val="000000"/>
          <w:spacing w:val="0"/>
          <w:w w:val="100"/>
          <w:position w:val="0"/>
          <w:sz w:val="32"/>
          <w:szCs w:val="32"/>
        </w:rPr>
        <w:t>采取价高者得方式</w:t>
      </w:r>
      <w:r>
        <w:rPr>
          <w:rFonts w:hint="eastAsia" w:ascii="Times New Roman" w:hAnsi="Times New Roman" w:eastAsia="仿宋_GB2312" w:cs="Times New Roman"/>
          <w:color w:val="000000"/>
          <w:spacing w:val="0"/>
          <w:w w:val="100"/>
          <w:position w:val="0"/>
          <w:sz w:val="32"/>
          <w:szCs w:val="32"/>
          <w:lang w:val="en-US" w:eastAsia="zh-CN"/>
        </w:rPr>
        <w:t>转</w:t>
      </w:r>
      <w:r>
        <w:rPr>
          <w:rFonts w:hint="default" w:ascii="Times New Roman" w:hAnsi="Times New Roman" w:eastAsia="仿宋_GB2312" w:cs="Times New Roman"/>
          <w:color w:val="000000"/>
          <w:spacing w:val="0"/>
          <w:w w:val="100"/>
          <w:position w:val="0"/>
          <w:sz w:val="32"/>
          <w:szCs w:val="32"/>
        </w:rPr>
        <w:t>让并确定成交候选人。</w:t>
      </w:r>
    </w:p>
    <w:p>
      <w:pPr>
        <w:pStyle w:val="4"/>
        <w:keepNext w:val="0"/>
        <w:keepLines w:val="0"/>
        <w:pageBreakBefore w:val="0"/>
        <w:kinsoku/>
        <w:wordWrap/>
        <w:overflowPunct/>
        <w:topLinePunct w:val="0"/>
        <w:autoSpaceDE/>
        <w:autoSpaceDN/>
        <w:bidi w:val="0"/>
        <w:adjustRightInd/>
        <w:snapToGrid/>
        <w:spacing w:line="50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w:t>
      </w:r>
      <w:r>
        <w:rPr>
          <w:rFonts w:hint="eastAsia" w:ascii="仿宋_GB2312" w:hAnsi="仿宋_GB2312" w:eastAsia="仿宋_GB2312" w:cs="仿宋_GB2312"/>
          <w:b w:val="0"/>
          <w:bCs w:val="0"/>
          <w:color w:val="auto"/>
          <w:sz w:val="32"/>
          <w:szCs w:val="32"/>
          <w:highlight w:val="none"/>
        </w:rPr>
        <w:t>资格审查</w:t>
      </w:r>
    </w:p>
    <w:p>
      <w:pPr>
        <w:pStyle w:val="4"/>
        <w:keepNext w:val="0"/>
        <w:keepLines w:val="0"/>
        <w:pageBreakBefore w:val="0"/>
        <w:kinsoku/>
        <w:wordWrap/>
        <w:overflowPunct/>
        <w:topLinePunct w:val="0"/>
        <w:autoSpaceDE/>
        <w:autoSpaceDN/>
        <w:bidi w:val="0"/>
        <w:adjustRightInd/>
        <w:snapToGrid/>
        <w:spacing w:line="50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成交候选人应在网上挂牌交易系统确定成交候选人之日起</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个工作日内将竞买申请纸质材料提交至</w:t>
      </w:r>
      <w:r>
        <w:rPr>
          <w:rFonts w:hint="eastAsia" w:ascii="仿宋_GB2312" w:hAnsi="仿宋_GB2312" w:eastAsia="仿宋_GB2312" w:cs="仿宋_GB2312"/>
          <w:b w:val="0"/>
          <w:bCs w:val="0"/>
          <w:color w:val="auto"/>
          <w:sz w:val="32"/>
          <w:szCs w:val="32"/>
          <w:highlight w:val="none"/>
          <w:lang w:val="en-US" w:eastAsia="zh-CN"/>
        </w:rPr>
        <w:t>我镇</w:t>
      </w:r>
      <w:r>
        <w:rPr>
          <w:rFonts w:hint="eastAsia" w:ascii="仿宋_GB2312" w:hAnsi="仿宋_GB2312" w:eastAsia="仿宋_GB2312" w:cs="仿宋_GB2312"/>
          <w:b w:val="0"/>
          <w:bCs w:val="0"/>
          <w:color w:val="auto"/>
          <w:sz w:val="32"/>
          <w:szCs w:val="32"/>
          <w:highlight w:val="none"/>
        </w:rPr>
        <w:t>，由</w:t>
      </w:r>
      <w:r>
        <w:rPr>
          <w:rFonts w:hint="eastAsia" w:ascii="仿宋_GB2312" w:hAnsi="仿宋_GB2312" w:eastAsia="仿宋_GB2312" w:cs="仿宋_GB2312"/>
          <w:b w:val="0"/>
          <w:bCs w:val="0"/>
          <w:color w:val="auto"/>
          <w:sz w:val="32"/>
          <w:szCs w:val="32"/>
          <w:highlight w:val="none"/>
          <w:lang w:val="en-US" w:eastAsia="zh-CN"/>
        </w:rPr>
        <w:t>我镇</w:t>
      </w:r>
      <w:r>
        <w:rPr>
          <w:rFonts w:hint="eastAsia" w:ascii="仿宋_GB2312" w:hAnsi="仿宋_GB2312" w:eastAsia="仿宋_GB2312" w:cs="仿宋_GB2312"/>
          <w:b w:val="0"/>
          <w:bCs w:val="0"/>
          <w:color w:val="auto"/>
          <w:sz w:val="32"/>
          <w:szCs w:val="32"/>
          <w:highlight w:val="none"/>
        </w:rPr>
        <w:t>对竞买资格进行审查。</w:t>
      </w:r>
      <w:r>
        <w:rPr>
          <w:rFonts w:hint="eastAsia" w:ascii="仿宋_GB2312" w:hAnsi="仿宋_GB2312" w:eastAsia="仿宋_GB2312" w:cs="仿宋_GB2312"/>
          <w:b w:val="0"/>
          <w:bCs w:val="0"/>
          <w:color w:val="auto"/>
          <w:sz w:val="32"/>
          <w:szCs w:val="32"/>
          <w:highlight w:val="none"/>
          <w:lang w:val="en-US" w:eastAsia="zh-CN"/>
        </w:rPr>
        <w:t>我镇</w:t>
      </w:r>
      <w:r>
        <w:rPr>
          <w:rFonts w:hint="eastAsia" w:ascii="仿宋_GB2312" w:hAnsi="仿宋_GB2312" w:eastAsia="仿宋_GB2312" w:cs="仿宋_GB2312"/>
          <w:b w:val="0"/>
          <w:bCs w:val="0"/>
          <w:color w:val="auto"/>
          <w:sz w:val="32"/>
          <w:szCs w:val="32"/>
          <w:highlight w:val="none"/>
        </w:rPr>
        <w:t>将</w:t>
      </w:r>
      <w:r>
        <w:rPr>
          <w:rFonts w:hint="eastAsia" w:ascii="仿宋_GB2312" w:hAnsi="仿宋_GB2312" w:eastAsia="仿宋_GB2312" w:cs="仿宋_GB2312"/>
          <w:b w:val="0"/>
          <w:bCs w:val="0"/>
          <w:color w:val="auto"/>
          <w:sz w:val="32"/>
          <w:szCs w:val="32"/>
          <w:highlight w:val="none"/>
          <w:u w:val="none"/>
        </w:rPr>
        <w:t>于</w:t>
      </w:r>
      <w:r>
        <w:rPr>
          <w:rFonts w:hint="eastAsia" w:ascii="仿宋_GB2312" w:hAnsi="仿宋_GB2312" w:eastAsia="仿宋_GB2312" w:cs="仿宋_GB2312"/>
          <w:b w:val="0"/>
          <w:bCs w:val="0"/>
          <w:color w:val="auto"/>
          <w:sz w:val="32"/>
          <w:szCs w:val="32"/>
          <w:highlight w:val="none"/>
          <w:u w:val="none"/>
          <w:lang w:val="en-US" w:eastAsia="zh-CN"/>
        </w:rPr>
        <w:t>2022</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12</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19</w:t>
      </w:r>
      <w:r>
        <w:rPr>
          <w:rFonts w:hint="eastAsia" w:ascii="仿宋_GB2312" w:hAnsi="仿宋_GB2312" w:eastAsia="仿宋_GB2312" w:cs="仿宋_GB2312"/>
          <w:b w:val="0"/>
          <w:bCs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rPr>
        <w:t xml:space="preserve">前确定符合竞买资格的成交候选人为竞得人。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成交候选人资格审查须提交下列材料：</w:t>
      </w:r>
    </w:p>
    <w:p>
      <w:pPr>
        <w:pStyle w:val="8"/>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一</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《竞买申请书》（</w:t>
      </w:r>
      <w:r>
        <w:rPr>
          <w:rFonts w:hint="eastAsia" w:ascii="仿宋_GB2312" w:hAnsi="仿宋_GB2312" w:eastAsia="仿宋_GB2312" w:cs="仿宋_GB2312"/>
          <w:b w:val="0"/>
          <w:bCs w:val="0"/>
          <w:color w:val="auto"/>
          <w:kern w:val="2"/>
          <w:sz w:val="32"/>
          <w:szCs w:val="32"/>
          <w:highlight w:val="none"/>
          <w:lang w:val="en-US" w:eastAsia="zh-CN"/>
        </w:rPr>
        <w:t>两份，</w:t>
      </w:r>
      <w:r>
        <w:rPr>
          <w:rFonts w:hint="eastAsia" w:ascii="仿宋_GB2312" w:hAnsi="仿宋_GB2312" w:eastAsia="仿宋_GB2312" w:cs="仿宋_GB2312"/>
          <w:b w:val="0"/>
          <w:bCs w:val="0"/>
          <w:color w:val="auto"/>
          <w:kern w:val="2"/>
          <w:sz w:val="32"/>
          <w:szCs w:val="32"/>
          <w:highlight w:val="none"/>
        </w:rPr>
        <w:t>加盖公章）；</w:t>
      </w:r>
    </w:p>
    <w:p>
      <w:pPr>
        <w:pStyle w:val="8"/>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二</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《竞价结果通知书》（</w:t>
      </w:r>
      <w:r>
        <w:rPr>
          <w:rFonts w:hint="eastAsia" w:ascii="仿宋_GB2312" w:hAnsi="仿宋_GB2312" w:eastAsia="仿宋_GB2312" w:cs="仿宋_GB2312"/>
          <w:b w:val="0"/>
          <w:bCs w:val="0"/>
          <w:color w:val="auto"/>
          <w:kern w:val="2"/>
          <w:sz w:val="32"/>
          <w:szCs w:val="32"/>
          <w:highlight w:val="none"/>
          <w:lang w:val="en-US" w:eastAsia="zh-CN"/>
        </w:rPr>
        <w:t>两份，</w:t>
      </w:r>
      <w:r>
        <w:rPr>
          <w:rFonts w:hint="eastAsia" w:ascii="仿宋_GB2312" w:hAnsi="仿宋_GB2312" w:eastAsia="仿宋_GB2312" w:cs="仿宋_GB2312"/>
          <w:b w:val="0"/>
          <w:bCs w:val="0"/>
          <w:color w:val="auto"/>
          <w:kern w:val="2"/>
          <w:sz w:val="32"/>
          <w:szCs w:val="32"/>
          <w:highlight w:val="none"/>
        </w:rPr>
        <w:t>加盖公章）；</w:t>
      </w:r>
    </w:p>
    <w:p>
      <w:pPr>
        <w:pStyle w:val="8"/>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三</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《竞买保证金到账通知书》（</w:t>
      </w:r>
      <w:r>
        <w:rPr>
          <w:rFonts w:hint="eastAsia" w:ascii="仿宋_GB2312" w:hAnsi="仿宋_GB2312" w:eastAsia="仿宋_GB2312" w:cs="仿宋_GB2312"/>
          <w:b w:val="0"/>
          <w:bCs w:val="0"/>
          <w:color w:val="auto"/>
          <w:kern w:val="2"/>
          <w:sz w:val="32"/>
          <w:szCs w:val="32"/>
          <w:highlight w:val="none"/>
          <w:lang w:val="en-US" w:eastAsia="zh-CN"/>
        </w:rPr>
        <w:t>两份，</w:t>
      </w:r>
      <w:r>
        <w:rPr>
          <w:rFonts w:hint="eastAsia" w:ascii="仿宋_GB2312" w:hAnsi="仿宋_GB2312" w:eastAsia="仿宋_GB2312" w:cs="仿宋_GB2312"/>
          <w:b w:val="0"/>
          <w:bCs w:val="0"/>
          <w:color w:val="auto"/>
          <w:kern w:val="2"/>
          <w:sz w:val="32"/>
          <w:szCs w:val="32"/>
          <w:highlight w:val="none"/>
        </w:rPr>
        <w:t>加盖公章）；</w:t>
      </w:r>
    </w:p>
    <w:p>
      <w:pPr>
        <w:pStyle w:val="8"/>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四</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竞买保证金转账凭证复印件（</w:t>
      </w:r>
      <w:r>
        <w:rPr>
          <w:rFonts w:hint="eastAsia" w:ascii="仿宋_GB2312" w:hAnsi="仿宋_GB2312" w:eastAsia="仿宋_GB2312" w:cs="仿宋_GB2312"/>
          <w:b w:val="0"/>
          <w:bCs w:val="0"/>
          <w:color w:val="auto"/>
          <w:kern w:val="2"/>
          <w:sz w:val="32"/>
          <w:szCs w:val="32"/>
          <w:highlight w:val="none"/>
          <w:lang w:val="en-US" w:eastAsia="zh-CN"/>
        </w:rPr>
        <w:t>两份，</w:t>
      </w:r>
      <w:r>
        <w:rPr>
          <w:rFonts w:hint="eastAsia" w:ascii="仿宋_GB2312" w:hAnsi="仿宋_GB2312" w:eastAsia="仿宋_GB2312" w:cs="仿宋_GB2312"/>
          <w:b w:val="0"/>
          <w:bCs w:val="0"/>
          <w:color w:val="auto"/>
          <w:kern w:val="2"/>
          <w:sz w:val="32"/>
          <w:szCs w:val="32"/>
          <w:highlight w:val="none"/>
        </w:rPr>
        <w:t>加盖公章）；</w:t>
      </w:r>
    </w:p>
    <w:p>
      <w:pPr>
        <w:pStyle w:val="8"/>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五</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申请竞买人有效的《营业执照》复印件（</w:t>
      </w:r>
      <w:r>
        <w:rPr>
          <w:rFonts w:hint="eastAsia" w:ascii="仿宋_GB2312" w:hAnsi="仿宋_GB2312" w:eastAsia="仿宋_GB2312" w:cs="仿宋_GB2312"/>
          <w:b w:val="0"/>
          <w:bCs w:val="0"/>
          <w:color w:val="auto"/>
          <w:kern w:val="2"/>
          <w:sz w:val="32"/>
          <w:szCs w:val="32"/>
          <w:highlight w:val="none"/>
          <w:lang w:val="en-US" w:eastAsia="zh-CN"/>
        </w:rPr>
        <w:t>两份，</w:t>
      </w:r>
      <w:r>
        <w:rPr>
          <w:rFonts w:hint="eastAsia" w:ascii="仿宋_GB2312" w:hAnsi="仿宋_GB2312" w:eastAsia="仿宋_GB2312" w:cs="仿宋_GB2312"/>
          <w:b w:val="0"/>
          <w:bCs w:val="0"/>
          <w:color w:val="auto"/>
          <w:kern w:val="2"/>
          <w:sz w:val="32"/>
          <w:szCs w:val="32"/>
          <w:highlight w:val="none"/>
        </w:rPr>
        <w:t>加盖公章）；</w:t>
      </w:r>
    </w:p>
    <w:p>
      <w:pPr>
        <w:pStyle w:val="8"/>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六</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法定代表人身份证复印件（</w:t>
      </w:r>
      <w:r>
        <w:rPr>
          <w:rFonts w:hint="eastAsia" w:ascii="仿宋_GB2312" w:hAnsi="仿宋_GB2312" w:eastAsia="仿宋_GB2312" w:cs="仿宋_GB2312"/>
          <w:b w:val="0"/>
          <w:bCs w:val="0"/>
          <w:color w:val="auto"/>
          <w:kern w:val="2"/>
          <w:sz w:val="32"/>
          <w:szCs w:val="32"/>
          <w:highlight w:val="none"/>
          <w:lang w:val="en-US" w:eastAsia="zh-CN"/>
        </w:rPr>
        <w:t>两份，</w:t>
      </w:r>
      <w:r>
        <w:rPr>
          <w:rFonts w:hint="eastAsia" w:ascii="仿宋_GB2312" w:hAnsi="仿宋_GB2312" w:eastAsia="仿宋_GB2312" w:cs="仿宋_GB2312"/>
          <w:b w:val="0"/>
          <w:bCs w:val="0"/>
          <w:color w:val="auto"/>
          <w:kern w:val="2"/>
          <w:sz w:val="32"/>
          <w:szCs w:val="32"/>
          <w:highlight w:val="none"/>
        </w:rPr>
        <w:t>加盖公章）；</w:t>
      </w:r>
    </w:p>
    <w:p>
      <w:pPr>
        <w:pStyle w:val="8"/>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七</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授权他人代理的授权委托书及代理人身份证复印件（</w:t>
      </w:r>
      <w:r>
        <w:rPr>
          <w:rFonts w:hint="eastAsia" w:ascii="仿宋_GB2312" w:hAnsi="仿宋_GB2312" w:eastAsia="仿宋_GB2312" w:cs="仿宋_GB2312"/>
          <w:b w:val="0"/>
          <w:bCs w:val="0"/>
          <w:color w:val="auto"/>
          <w:kern w:val="2"/>
          <w:sz w:val="32"/>
          <w:szCs w:val="32"/>
          <w:highlight w:val="none"/>
          <w:lang w:val="en-US" w:eastAsia="zh-CN"/>
        </w:rPr>
        <w:t>两份，</w:t>
      </w:r>
      <w:r>
        <w:rPr>
          <w:rFonts w:hint="eastAsia" w:ascii="仿宋_GB2312" w:hAnsi="仿宋_GB2312" w:eastAsia="仿宋_GB2312" w:cs="仿宋_GB2312"/>
          <w:b w:val="0"/>
          <w:bCs w:val="0"/>
          <w:color w:val="auto"/>
          <w:kern w:val="2"/>
          <w:sz w:val="32"/>
          <w:szCs w:val="32"/>
          <w:highlight w:val="none"/>
        </w:rPr>
        <w:t>核对原件）</w:t>
      </w:r>
      <w:r>
        <w:rPr>
          <w:rFonts w:hint="eastAsia" w:ascii="仿宋_GB2312" w:hAnsi="仿宋_GB2312" w:eastAsia="仿宋_GB2312" w:cs="仿宋_GB2312"/>
          <w:b w:val="0"/>
          <w:bCs w:val="0"/>
          <w:color w:val="auto"/>
          <w:kern w:val="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555"/>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w:t>
      </w:r>
      <w:r>
        <w:rPr>
          <w:rFonts w:hint="eastAsia" w:ascii="仿宋_GB2312" w:hAnsi="仿宋_GB2312" w:eastAsia="仿宋_GB2312" w:cs="仿宋_GB2312"/>
          <w:b w:val="0"/>
          <w:bCs w:val="0"/>
          <w:color w:val="auto"/>
          <w:sz w:val="32"/>
          <w:szCs w:val="32"/>
          <w:highlight w:val="none"/>
        </w:rPr>
        <w:t>签订成交确认书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支付成交价款</w:t>
      </w:r>
    </w:p>
    <w:p>
      <w:pPr>
        <w:keepNext w:val="0"/>
        <w:keepLines w:val="0"/>
        <w:pageBreakBefore w:val="0"/>
        <w:kinsoku/>
        <w:wordWrap/>
        <w:overflowPunct/>
        <w:topLinePunct w:val="0"/>
        <w:autoSpaceDE/>
        <w:autoSpaceDN/>
        <w:bidi w:val="0"/>
        <w:adjustRightInd/>
        <w:snapToGrid/>
        <w:spacing w:line="50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竞得人应在接到竞得人确定通知之日起</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rPr>
        <w:t>个工作日内</w:t>
      </w:r>
      <w:r>
        <w:rPr>
          <w:rFonts w:hint="eastAsia" w:ascii="仿宋_GB2312" w:hAnsi="仿宋_GB2312" w:eastAsia="仿宋_GB2312" w:cs="仿宋_GB2312"/>
          <w:b w:val="0"/>
          <w:bCs w:val="0"/>
          <w:color w:val="auto"/>
          <w:sz w:val="32"/>
          <w:szCs w:val="32"/>
          <w:highlight w:val="none"/>
          <w:lang w:eastAsia="zh-CN"/>
        </w:rPr>
        <w:t>与</w:t>
      </w:r>
      <w:r>
        <w:rPr>
          <w:rFonts w:hint="eastAsia" w:ascii="仿宋_GB2312" w:hAnsi="仿宋_GB2312" w:eastAsia="仿宋_GB2312" w:cs="仿宋_GB2312"/>
          <w:b w:val="0"/>
          <w:bCs w:val="0"/>
          <w:color w:val="auto"/>
          <w:sz w:val="32"/>
          <w:szCs w:val="32"/>
          <w:highlight w:val="none"/>
          <w:lang w:val="en-US" w:eastAsia="zh-CN"/>
        </w:rPr>
        <w:t>潼侨镇政府、红岗合作社</w:t>
      </w:r>
      <w:r>
        <w:rPr>
          <w:rFonts w:hint="eastAsia" w:ascii="仿宋_GB2312" w:hAnsi="仿宋_GB2312" w:eastAsia="仿宋_GB2312" w:cs="仿宋_GB2312"/>
          <w:b w:val="0"/>
          <w:bCs w:val="0"/>
          <w:color w:val="auto"/>
          <w:sz w:val="32"/>
          <w:szCs w:val="32"/>
          <w:highlight w:val="none"/>
          <w:lang w:eastAsia="zh-CN"/>
        </w:rPr>
        <w:t>和</w:t>
      </w:r>
      <w:r>
        <w:rPr>
          <w:rFonts w:hint="eastAsia" w:ascii="仿宋_GB2312" w:hAnsi="仿宋_GB2312" w:eastAsia="仿宋_GB2312" w:cs="仿宋_GB2312"/>
          <w:b w:val="0"/>
          <w:bCs w:val="0"/>
          <w:color w:val="auto"/>
          <w:sz w:val="32"/>
          <w:szCs w:val="32"/>
          <w:highlight w:val="none"/>
          <w:lang w:val="en-US" w:eastAsia="zh-CN"/>
        </w:rPr>
        <w:t>惠州市公共资源交易中心仲恺分中心</w:t>
      </w:r>
      <w:r>
        <w:rPr>
          <w:rFonts w:hint="eastAsia" w:ascii="仿宋_GB2312" w:hAnsi="仿宋_GB2312" w:eastAsia="仿宋_GB2312" w:cs="仿宋_GB2312"/>
          <w:b w:val="0"/>
          <w:bCs w:val="0"/>
          <w:color w:val="auto"/>
          <w:sz w:val="32"/>
          <w:szCs w:val="32"/>
          <w:highlight w:val="none"/>
        </w:rPr>
        <w:t>签订《成交确认书》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成交价款于《出让合同》签订之日起30日内一次性付清。付清成交价款及有关税费后，竞得人可申请办理建设用地审批及土地登记发证手续。</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十二、</w:t>
      </w:r>
      <w:r>
        <w:rPr>
          <w:rFonts w:hint="eastAsia" w:ascii="仿宋_GB2312" w:hAnsi="仿宋_GB2312" w:eastAsia="仿宋_GB2312" w:cs="仿宋_GB2312"/>
          <w:b w:val="0"/>
          <w:bCs w:val="0"/>
          <w:color w:val="auto"/>
          <w:sz w:val="32"/>
          <w:szCs w:val="32"/>
          <w:highlight w:val="none"/>
        </w:rPr>
        <w:t>竞买保证金退还或转付成交价款</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未成功竞得的竞买人所交竞买保证金，在5个工作日内予以退还；若违法违规竞买的，按有关规定处罚后予以退还。</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竞得人签订《成交确认书》后，缴交的保证金中按成交价的20%转作定金；竞得人签订《出让合同》后，定金转作土地出让价款。竞得人逾期或拒绝签订《出让合同》，定金不予退还；不按《出让合同》约定缴交地价款的，收回土地并按规定处罚。</w:t>
      </w:r>
    </w:p>
    <w:p>
      <w:pPr>
        <w:pStyle w:val="4"/>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不符合竞买资格条件的；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提供虚假文件材料，隐瞒重要事实的；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采取行贿、恶意串通等非法手段竞得的；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无正当理由逾期或拒绝签订成交确认书的</w:t>
      </w:r>
      <w:r>
        <w:rPr>
          <w:rFonts w:hint="eastAsia" w:ascii="仿宋_GB2312" w:hAnsi="仿宋_GB2312" w:eastAsia="仿宋_GB2312" w:cs="仿宋_GB2312"/>
          <w:b w:val="0"/>
          <w:bCs w:val="0"/>
          <w:color w:val="auto"/>
          <w:sz w:val="32"/>
          <w:szCs w:val="32"/>
          <w:highlight w:val="none"/>
          <w:lang w:eastAsia="zh-CN"/>
        </w:rPr>
        <w:t>。</w:t>
      </w:r>
    </w:p>
    <w:p>
      <w:pPr>
        <w:pStyle w:val="4"/>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52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（一）本宗地网上挂牌</w:t>
      </w:r>
      <w:r>
        <w:rPr>
          <w:rFonts w:hint="eastAsia" w:ascii="仿宋_GB2312" w:hAnsi="仿宋_GB2312" w:eastAsia="仿宋_GB2312" w:cs="仿宋_GB2312"/>
          <w:b w:val="0"/>
          <w:bCs w:val="0"/>
          <w:color w:val="auto"/>
          <w:sz w:val="32"/>
          <w:szCs w:val="32"/>
          <w:highlight w:val="none"/>
          <w:lang w:eastAsia="zh-CN"/>
        </w:rPr>
        <w:t>转让</w:t>
      </w:r>
      <w:r>
        <w:rPr>
          <w:rFonts w:hint="eastAsia" w:ascii="仿宋_GB2312" w:hAnsi="仿宋_GB2312" w:eastAsia="仿宋_GB2312" w:cs="仿宋_GB2312"/>
          <w:b w:val="0"/>
          <w:bCs w:val="0"/>
          <w:color w:val="auto"/>
          <w:sz w:val="32"/>
          <w:szCs w:val="32"/>
          <w:highlight w:val="none"/>
        </w:rPr>
        <w:t>的详细资料和具体要求，见网上挂牌交易系统。申请人可在网上挂牌交易系统下载挂牌</w:t>
      </w:r>
      <w:r>
        <w:rPr>
          <w:rFonts w:hint="eastAsia" w:ascii="仿宋_GB2312" w:hAnsi="仿宋_GB2312" w:eastAsia="仿宋_GB2312" w:cs="仿宋_GB2312"/>
          <w:b w:val="0"/>
          <w:bCs w:val="0"/>
          <w:color w:val="auto"/>
          <w:sz w:val="32"/>
          <w:szCs w:val="32"/>
          <w:highlight w:val="none"/>
          <w:lang w:eastAsia="zh-CN"/>
        </w:rPr>
        <w:t>转让</w:t>
      </w:r>
      <w:r>
        <w:rPr>
          <w:rFonts w:hint="eastAsia" w:ascii="仿宋_GB2312" w:hAnsi="仿宋_GB2312" w:eastAsia="仿宋_GB2312" w:cs="仿宋_GB2312"/>
          <w:b w:val="0"/>
          <w:bCs w:val="0"/>
          <w:color w:val="auto"/>
          <w:sz w:val="32"/>
          <w:szCs w:val="32"/>
          <w:highlight w:val="none"/>
        </w:rPr>
        <w:t>公告、须知及相关交易文件。</w:t>
      </w:r>
    </w:p>
    <w:p>
      <w:pPr>
        <w:pStyle w:val="4"/>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（二）有意竞买者可以自行到地块现场踏勘（可在网上挂牌交易系统查阅</w:t>
      </w:r>
      <w:r>
        <w:rPr>
          <w:rFonts w:hint="eastAsia" w:ascii="仿宋_GB2312" w:hAnsi="仿宋_GB2312" w:eastAsia="仿宋_GB2312" w:cs="仿宋_GB2312"/>
          <w:b w:val="0"/>
          <w:bCs w:val="0"/>
          <w:color w:val="auto"/>
          <w:sz w:val="32"/>
          <w:szCs w:val="32"/>
          <w:highlight w:val="none"/>
          <w:lang w:val="en-US" w:eastAsia="zh-CN"/>
        </w:rPr>
        <w:t>用地红线图</w:t>
      </w:r>
      <w:r>
        <w:rPr>
          <w:rFonts w:hint="eastAsia" w:ascii="仿宋_GB2312" w:hAnsi="仿宋_GB2312" w:eastAsia="仿宋_GB2312" w:cs="仿宋_GB2312"/>
          <w:b w:val="0"/>
          <w:bCs w:val="0"/>
          <w:color w:val="auto"/>
          <w:sz w:val="32"/>
          <w:szCs w:val="32"/>
          <w:highlight w:val="none"/>
        </w:rPr>
        <w:t>）。</w:t>
      </w:r>
    </w:p>
    <w:p>
      <w:pPr>
        <w:pStyle w:val="4"/>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（三）竞买申请一经受理确认后，即视为竞买人对网上挂牌</w:t>
      </w:r>
      <w:r>
        <w:rPr>
          <w:rFonts w:hint="eastAsia" w:ascii="仿宋_GB2312" w:hAnsi="仿宋_GB2312" w:eastAsia="仿宋_GB2312" w:cs="仿宋_GB2312"/>
          <w:b w:val="0"/>
          <w:bCs w:val="0"/>
          <w:color w:val="auto"/>
          <w:sz w:val="32"/>
          <w:szCs w:val="32"/>
          <w:highlight w:val="none"/>
          <w:lang w:eastAsia="zh-CN"/>
        </w:rPr>
        <w:t>转让</w:t>
      </w:r>
      <w:r>
        <w:rPr>
          <w:rFonts w:hint="eastAsia" w:ascii="仿宋_GB2312" w:hAnsi="仿宋_GB2312" w:eastAsia="仿宋_GB2312" w:cs="仿宋_GB2312"/>
          <w:b w:val="0"/>
          <w:bCs w:val="0"/>
          <w:color w:val="auto"/>
          <w:sz w:val="32"/>
          <w:szCs w:val="32"/>
          <w:highlight w:val="none"/>
        </w:rPr>
        <w:t>公告、须知、相关交易文件及地块现状无异议并全部接受，并对有关承诺承担法律责任。</w:t>
      </w:r>
    </w:p>
    <w:p>
      <w:pPr>
        <w:pStyle w:val="4"/>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（四）地块动工竣工时间及地块交付时间</w:t>
      </w:r>
    </w:p>
    <w:p>
      <w:pPr>
        <w:pStyle w:val="4"/>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《出让合同》签订之日交付土地；动工时间为土地交付之日后1年内，竣工时间为土地交付之日后3年内，返还物业交付时间按《合作合同》要求执行。</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（五）该宗地交易全程适用</w:t>
      </w:r>
      <w:r>
        <w:rPr>
          <w:rFonts w:hint="eastAsia" w:ascii="仿宋_GB2312" w:hAnsi="仿宋_GB2312" w:eastAsia="仿宋_GB2312" w:cs="仿宋_GB2312"/>
          <w:b w:val="0"/>
          <w:bCs w:val="0"/>
          <w:color w:val="auto"/>
          <w:sz w:val="32"/>
          <w:szCs w:val="32"/>
          <w:highlight w:val="none"/>
        </w:rPr>
        <w:t>《惠州市政务服务数据管理局</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惠州市公共资源交易中心公共资源电子交易规则》</w:t>
      </w:r>
      <w:r>
        <w:rPr>
          <w:rFonts w:hint="eastAsia" w:ascii="仿宋_GB2312" w:hAnsi="仿宋_GB2312" w:eastAsia="仿宋_GB2312" w:cs="仿宋_GB2312"/>
          <w:b w:val="0"/>
          <w:bCs w:val="0"/>
          <w:color w:val="auto"/>
          <w:sz w:val="32"/>
          <w:szCs w:val="32"/>
          <w:highlight w:val="none"/>
          <w:lang w:val="en-US" w:eastAsia="zh-CN"/>
        </w:rPr>
        <w:t>（惠市政数〔2022〕3号）。</w:t>
      </w:r>
    </w:p>
    <w:p>
      <w:pPr>
        <w:keepNext w:val="0"/>
        <w:keepLines w:val="0"/>
        <w:pageBreakBefore w:val="0"/>
        <w:numPr>
          <w:ilvl w:val="0"/>
          <w:numId w:val="0"/>
        </w:numPr>
        <w:kinsoku/>
        <w:wordWrap/>
        <w:overflowPunct/>
        <w:topLinePunct w:val="0"/>
        <w:autoSpaceDE/>
        <w:autoSpaceDN/>
        <w:bidi w:val="0"/>
        <w:spacing w:line="520" w:lineRule="exact"/>
        <w:ind w:leftChars="200" w:firstLine="320" w:firstLineChars="1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十五、</w:t>
      </w:r>
      <w:r>
        <w:rPr>
          <w:rFonts w:hint="eastAsia" w:ascii="仿宋_GB2312" w:hAnsi="仿宋_GB2312" w:eastAsia="仿宋_GB2312" w:cs="仿宋_GB2312"/>
          <w:b w:val="0"/>
          <w:bCs w:val="0"/>
          <w:color w:val="auto"/>
          <w:sz w:val="32"/>
          <w:szCs w:val="32"/>
          <w:highlight w:val="none"/>
        </w:rPr>
        <w:t>联系方式：</w:t>
      </w:r>
    </w:p>
    <w:p>
      <w:pPr>
        <w:keepNext w:val="0"/>
        <w:keepLines w:val="0"/>
        <w:pageBreakBefore w:val="0"/>
        <w:kinsoku/>
        <w:wordWrap/>
        <w:overflowPunct/>
        <w:topLinePunct w:val="0"/>
        <w:autoSpaceDE/>
        <w:autoSpaceDN/>
        <w:bidi w:val="0"/>
        <w:spacing w:line="520" w:lineRule="exact"/>
        <w:ind w:left="1918" w:leftChars="304" w:right="640" w:hanging="1280" w:hangingChars="400"/>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lang w:eastAsia="zh-CN"/>
        </w:rPr>
        <w:t>转让</w:t>
      </w:r>
      <w:r>
        <w:rPr>
          <w:rFonts w:hint="eastAsia" w:ascii="仿宋_GB2312" w:hAnsi="仿宋_GB2312" w:eastAsia="仿宋_GB2312" w:cs="仿宋_GB2312"/>
          <w:b w:val="0"/>
          <w:bCs w:val="0"/>
          <w:color w:val="auto"/>
          <w:sz w:val="32"/>
          <w:szCs w:val="32"/>
          <w:highlight w:val="none"/>
        </w:rPr>
        <w:t>方：</w:t>
      </w:r>
      <w:r>
        <w:rPr>
          <w:rFonts w:hint="eastAsia" w:ascii="仿宋_GB2312" w:hAnsi="仿宋_GB2312" w:eastAsia="仿宋_GB2312" w:cs="仿宋_GB2312"/>
          <w:b w:val="0"/>
          <w:bCs w:val="0"/>
          <w:color w:val="auto"/>
          <w:sz w:val="32"/>
          <w:szCs w:val="32"/>
          <w:highlight w:val="none"/>
          <w:lang w:val="en-US" w:eastAsia="zh-CN"/>
        </w:rPr>
        <w:t>惠州仲恺高新区潼侨镇人民政府、惠州仲恺高新区潼侨镇红岗社区移民股份经济合作社</w:t>
      </w:r>
    </w:p>
    <w:p>
      <w:pPr>
        <w:keepNext w:val="0"/>
        <w:keepLines w:val="0"/>
        <w:pageBreakBefore w:val="0"/>
        <w:kinsoku/>
        <w:wordWrap/>
        <w:overflowPunct/>
        <w:topLinePunct w:val="0"/>
        <w:autoSpaceDE/>
        <w:autoSpaceDN/>
        <w:bidi w:val="0"/>
        <w:spacing w:line="520" w:lineRule="exact"/>
        <w:ind w:left="1918" w:leftChars="304" w:right="640" w:hanging="1280" w:hangingChars="400"/>
        <w:textAlignment w:val="auto"/>
        <w:rPr>
          <w:rFonts w:hint="eastAsia" w:ascii="仿宋_GB2312" w:hAnsi="仿宋_GB2312" w:eastAsia="仿宋_GB2312" w:cs="仿宋_GB2312"/>
          <w:b w:val="0"/>
          <w:bCs w:val="0"/>
          <w:color w:val="auto"/>
          <w:sz w:val="32"/>
          <w:szCs w:val="32"/>
          <w:highlight w:val="none"/>
          <w:u w:val="single"/>
          <w:lang w:eastAsia="zh-CN"/>
        </w:rPr>
      </w:pPr>
      <w:r>
        <w:rPr>
          <w:rFonts w:hint="eastAsia" w:ascii="仿宋_GB2312" w:hAnsi="仿宋_GB2312" w:eastAsia="仿宋_GB2312" w:cs="仿宋_GB2312"/>
          <w:b w:val="0"/>
          <w:bCs w:val="0"/>
          <w:color w:val="auto"/>
          <w:sz w:val="32"/>
          <w:szCs w:val="32"/>
          <w:highlight w:val="none"/>
        </w:rPr>
        <w:t>联系地址：潼侨镇人民政府</w:t>
      </w:r>
      <w:r>
        <w:rPr>
          <w:rFonts w:hint="eastAsia" w:ascii="仿宋_GB2312" w:hAnsi="仿宋_GB2312" w:eastAsia="仿宋_GB2312" w:cs="仿宋_GB2312"/>
          <w:b w:val="0"/>
          <w:bCs w:val="0"/>
          <w:color w:val="auto"/>
          <w:sz w:val="32"/>
          <w:szCs w:val="32"/>
          <w:highlight w:val="none"/>
          <w:lang w:eastAsia="zh-CN"/>
        </w:rPr>
        <w:t>、仲恺高新区潼侨镇红岗社区移民新村9号</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rPr>
        <w:t>联系人：温先生</w:t>
      </w:r>
      <w:r>
        <w:rPr>
          <w:rFonts w:hint="eastAsia" w:ascii="仿宋_GB2312" w:hAnsi="仿宋_GB2312" w:eastAsia="仿宋_GB2312" w:cs="仿宋_GB2312"/>
          <w:b w:val="0"/>
          <w:bCs w:val="0"/>
          <w:color w:val="auto"/>
          <w:sz w:val="32"/>
          <w:szCs w:val="32"/>
          <w:highlight w:val="none"/>
          <w:lang w:eastAsia="zh-CN"/>
        </w:rPr>
        <w:t>、何小姐</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联系电话：0752-3792669</w:t>
      </w:r>
      <w:r>
        <w:rPr>
          <w:rFonts w:hint="eastAsia" w:ascii="仿宋_GB2312" w:hAnsi="仿宋_GB2312" w:eastAsia="仿宋_GB2312" w:cs="仿宋_GB2312"/>
          <w:b w:val="0"/>
          <w:bCs w:val="0"/>
          <w:color w:val="auto"/>
          <w:sz w:val="32"/>
          <w:szCs w:val="32"/>
          <w:highlight w:val="none"/>
          <w:lang w:eastAsia="zh-CN"/>
        </w:rPr>
        <w:t>、0752-3888258</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交易机构：惠州市公共资源交易中心</w:t>
      </w:r>
      <w:r>
        <w:rPr>
          <w:rFonts w:hint="eastAsia" w:ascii="仿宋_GB2312" w:hAnsi="仿宋_GB2312" w:eastAsia="仿宋_GB2312" w:cs="仿宋_GB2312"/>
          <w:b w:val="0"/>
          <w:bCs w:val="0"/>
          <w:color w:val="auto"/>
          <w:sz w:val="32"/>
          <w:szCs w:val="32"/>
          <w:highlight w:val="none"/>
          <w:lang w:eastAsia="zh-CN"/>
        </w:rPr>
        <w:t>仲恺</w:t>
      </w:r>
      <w:r>
        <w:rPr>
          <w:rFonts w:hint="eastAsia" w:ascii="仿宋_GB2312" w:hAnsi="仿宋_GB2312" w:eastAsia="仿宋_GB2312" w:cs="仿宋_GB2312"/>
          <w:b w:val="0"/>
          <w:bCs w:val="0"/>
          <w:color w:val="auto"/>
          <w:sz w:val="32"/>
          <w:szCs w:val="32"/>
          <w:highlight w:val="none"/>
        </w:rPr>
        <w:t>分中心</w:t>
      </w:r>
    </w:p>
    <w:p>
      <w:pPr>
        <w:pStyle w:val="25"/>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联系地址：</w:t>
      </w:r>
      <w:r>
        <w:rPr>
          <w:rFonts w:hint="eastAsia" w:ascii="仿宋_GB2312" w:hAnsi="仿宋_GB2312" w:eastAsia="仿宋_GB2312" w:cs="仿宋_GB2312"/>
          <w:b w:val="0"/>
          <w:bCs w:val="0"/>
          <w:color w:val="auto"/>
          <w:kern w:val="0"/>
          <w:sz w:val="32"/>
          <w:szCs w:val="32"/>
          <w:highlight w:val="none"/>
        </w:rPr>
        <w:t>广东省惠州市仲恺高新区和畅五路人才服务</w:t>
      </w:r>
    </w:p>
    <w:p>
      <w:pPr>
        <w:pStyle w:val="25"/>
        <w:keepNext w:val="0"/>
        <w:keepLines w:val="0"/>
        <w:pageBreakBefore w:val="0"/>
        <w:widowControl w:val="0"/>
        <w:kinsoku/>
        <w:wordWrap/>
        <w:overflowPunct/>
        <w:topLinePunct w:val="0"/>
        <w:autoSpaceDE/>
        <w:autoSpaceDN/>
        <w:bidi w:val="0"/>
        <w:spacing w:line="520" w:lineRule="exact"/>
        <w:ind w:firstLine="2240" w:firstLineChars="700"/>
        <w:jc w:val="lef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rPr>
        <w:t>大厦10楼</w:t>
      </w:r>
    </w:p>
    <w:p>
      <w:pPr>
        <w:pStyle w:val="25"/>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联系人：</w:t>
      </w:r>
      <w:r>
        <w:rPr>
          <w:rFonts w:hint="eastAsia" w:ascii="仿宋_GB2312" w:hAnsi="仿宋_GB2312" w:eastAsia="仿宋_GB2312" w:cs="仿宋_GB2312"/>
          <w:b w:val="0"/>
          <w:bCs w:val="0"/>
          <w:color w:val="auto"/>
          <w:kern w:val="0"/>
          <w:sz w:val="32"/>
          <w:szCs w:val="32"/>
          <w:highlight w:val="none"/>
        </w:rPr>
        <w:t>汪</w:t>
      </w:r>
      <w:r>
        <w:rPr>
          <w:rFonts w:hint="eastAsia" w:ascii="仿宋_GB2312" w:hAnsi="仿宋_GB2312" w:eastAsia="仿宋_GB2312" w:cs="仿宋_GB2312"/>
          <w:b w:val="0"/>
          <w:bCs w:val="0"/>
          <w:color w:val="auto"/>
          <w:kern w:val="0"/>
          <w:sz w:val="32"/>
          <w:szCs w:val="32"/>
          <w:highlight w:val="none"/>
          <w:lang w:val="en-US" w:eastAsia="zh-CN"/>
        </w:rPr>
        <w:t>鑫</w:t>
      </w:r>
      <w:r>
        <w:rPr>
          <w:rFonts w:hint="eastAsia" w:ascii="仿宋_GB2312" w:hAnsi="仿宋_GB2312" w:eastAsia="仿宋_GB2312" w:cs="仿宋_GB2312"/>
          <w:b w:val="0"/>
          <w:bCs w:val="0"/>
          <w:color w:val="auto"/>
          <w:kern w:val="0"/>
          <w:sz w:val="32"/>
          <w:szCs w:val="32"/>
          <w:highlight w:val="none"/>
        </w:rPr>
        <w:t xml:space="preserve"> </w:t>
      </w:r>
      <w:r>
        <w:rPr>
          <w:rFonts w:hint="eastAsia" w:ascii="仿宋_GB2312" w:hAnsi="仿宋_GB2312" w:eastAsia="仿宋_GB2312" w:cs="仿宋_GB2312"/>
          <w:b w:val="0"/>
          <w:bCs w:val="0"/>
          <w:color w:val="auto"/>
          <w:kern w:val="0"/>
          <w:sz w:val="32"/>
          <w:szCs w:val="32"/>
          <w:highlight w:val="none"/>
          <w:lang w:val="en-US" w:eastAsia="zh-CN"/>
        </w:rPr>
        <w:t>欧阳海棠</w:t>
      </w:r>
    </w:p>
    <w:p>
      <w:pPr>
        <w:pStyle w:val="25"/>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联系电话：</w:t>
      </w:r>
      <w:r>
        <w:rPr>
          <w:rFonts w:hint="eastAsia" w:ascii="仿宋_GB2312" w:hAnsi="仿宋_GB2312" w:eastAsia="仿宋_GB2312" w:cs="仿宋_GB2312"/>
          <w:b w:val="0"/>
          <w:bCs w:val="0"/>
          <w:color w:val="auto"/>
          <w:kern w:val="0"/>
          <w:sz w:val="32"/>
          <w:szCs w:val="32"/>
          <w:highlight w:val="none"/>
        </w:rPr>
        <w:t>0752-3278419</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注：本公告同时在下列网站及场所发布</w:t>
      </w:r>
      <w:bookmarkStart w:id="0" w:name="_GoBack"/>
      <w:bookmarkEnd w:id="0"/>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惠州市公共资源交易中心网：</w:t>
      </w:r>
      <w:r>
        <w:rPr>
          <w:rFonts w:hint="eastAsia" w:ascii="仿宋_GB2312" w:hAnsi="仿宋_GB2312" w:eastAsia="仿宋_GB2312" w:cs="仿宋_GB2312"/>
          <w:b w:val="0"/>
          <w:bCs w:val="0"/>
          <w:color w:val="auto"/>
          <w:sz w:val="32"/>
          <w:szCs w:val="32"/>
          <w:highlight w:val="none"/>
        </w:rPr>
        <w:fldChar w:fldCharType="begin"/>
      </w:r>
      <w:r>
        <w:rPr>
          <w:rFonts w:hint="eastAsia" w:ascii="仿宋_GB2312" w:hAnsi="仿宋_GB2312" w:eastAsia="仿宋_GB2312" w:cs="仿宋_GB2312"/>
          <w:b w:val="0"/>
          <w:bCs w:val="0"/>
          <w:color w:val="auto"/>
          <w:sz w:val="32"/>
          <w:szCs w:val="32"/>
          <w:highlight w:val="none"/>
        </w:rPr>
        <w:instrText xml:space="preserve"> HYPERLINK "http://zyjy.huizhou.gov.cn" </w:instrText>
      </w:r>
      <w:r>
        <w:rPr>
          <w:rFonts w:hint="eastAsia" w:ascii="仿宋_GB2312" w:hAnsi="仿宋_GB2312" w:eastAsia="仿宋_GB2312" w:cs="仿宋_GB2312"/>
          <w:b w:val="0"/>
          <w:bCs w:val="0"/>
          <w:color w:val="auto"/>
          <w:sz w:val="32"/>
          <w:szCs w:val="32"/>
          <w:highlight w:val="none"/>
        </w:rPr>
        <w:fldChar w:fldCharType="separate"/>
      </w:r>
      <w:r>
        <w:rPr>
          <w:rFonts w:hint="eastAsia" w:ascii="仿宋_GB2312" w:hAnsi="仿宋_GB2312" w:eastAsia="仿宋_GB2312" w:cs="仿宋_GB2312"/>
          <w:b w:val="0"/>
          <w:bCs w:val="0"/>
          <w:color w:val="auto"/>
          <w:sz w:val="32"/>
          <w:szCs w:val="32"/>
          <w:highlight w:val="none"/>
        </w:rPr>
        <w:t>http://zyjy.huizhou.gov.cn</w:t>
      </w:r>
      <w:r>
        <w:rPr>
          <w:rFonts w:hint="eastAsia" w:ascii="仿宋_GB2312" w:hAnsi="仿宋_GB2312" w:eastAsia="仿宋_GB2312" w:cs="仿宋_GB2312"/>
          <w:b w:val="0"/>
          <w:bCs w:val="0"/>
          <w:color w:val="auto"/>
          <w:sz w:val="32"/>
          <w:szCs w:val="32"/>
          <w:highlight w:val="none"/>
        </w:rPr>
        <w:fldChar w:fldCharType="end"/>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惠州</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公共资源交易中心</w:t>
      </w:r>
      <w:r>
        <w:rPr>
          <w:rFonts w:hint="eastAsia" w:ascii="仿宋_GB2312" w:hAnsi="仿宋_GB2312" w:eastAsia="仿宋_GB2312" w:cs="仿宋_GB2312"/>
          <w:b w:val="0"/>
          <w:bCs w:val="0"/>
          <w:color w:val="auto"/>
          <w:sz w:val="32"/>
          <w:szCs w:val="32"/>
          <w:highlight w:val="none"/>
          <w:lang w:eastAsia="zh-CN"/>
        </w:rPr>
        <w:t>仲恺分中心</w:t>
      </w:r>
      <w:r>
        <w:rPr>
          <w:rFonts w:hint="eastAsia" w:ascii="仿宋_GB2312" w:hAnsi="仿宋_GB2312" w:eastAsia="仿宋_GB2312" w:cs="仿宋_GB2312"/>
          <w:b w:val="0"/>
          <w:bCs w:val="0"/>
          <w:color w:val="auto"/>
          <w:sz w:val="32"/>
          <w:szCs w:val="32"/>
          <w:highlight w:val="none"/>
        </w:rPr>
        <w:t>网站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fldChar w:fldCharType="begin"/>
      </w:r>
      <w:r>
        <w:rPr>
          <w:rFonts w:hint="eastAsia" w:ascii="仿宋_GB2312" w:hAnsi="仿宋_GB2312" w:eastAsia="仿宋_GB2312" w:cs="仿宋_GB2312"/>
          <w:b w:val="0"/>
          <w:bCs w:val="0"/>
          <w:color w:val="auto"/>
          <w:sz w:val="32"/>
          <w:szCs w:val="32"/>
          <w:highlight w:val="none"/>
          <w:lang w:eastAsia="zh-CN"/>
        </w:rPr>
        <w:instrText xml:space="preserve"> HYPERLINK "http://www.hzzk.gov.cn/gwhbm/hzsggzyjyzxzzfzx/index.html" </w:instrText>
      </w:r>
      <w:r>
        <w:rPr>
          <w:rFonts w:hint="eastAsia" w:ascii="仿宋_GB2312" w:hAnsi="仿宋_GB2312" w:eastAsia="仿宋_GB2312" w:cs="仿宋_GB2312"/>
          <w:b w:val="0"/>
          <w:bCs w:val="0"/>
          <w:color w:val="auto"/>
          <w:sz w:val="32"/>
          <w:szCs w:val="32"/>
          <w:highlight w:val="none"/>
          <w:lang w:eastAsia="zh-CN"/>
        </w:rPr>
        <w:fldChar w:fldCharType="separate"/>
      </w:r>
      <w:r>
        <w:rPr>
          <w:rStyle w:val="15"/>
          <w:rFonts w:hint="eastAsia" w:ascii="仿宋_GB2312" w:hAnsi="仿宋_GB2312" w:eastAsia="仿宋_GB2312" w:cs="仿宋_GB2312"/>
          <w:b w:val="0"/>
          <w:bCs w:val="0"/>
          <w:color w:val="auto"/>
          <w:sz w:val="32"/>
          <w:szCs w:val="32"/>
          <w:highlight w:val="none"/>
          <w:lang w:eastAsia="zh-CN"/>
        </w:rPr>
        <w:t>http://www.hzzk.gov.cn/gwhbm/hzsggzyjyzxzzfzx/index.html</w:t>
      </w:r>
      <w:r>
        <w:rPr>
          <w:rFonts w:hint="eastAsia" w:ascii="仿宋_GB2312" w:hAnsi="仿宋_GB2312" w:eastAsia="仿宋_GB2312" w:cs="仿宋_GB2312"/>
          <w:b w:val="0"/>
          <w:bCs w:val="0"/>
          <w:color w:val="auto"/>
          <w:sz w:val="32"/>
          <w:szCs w:val="32"/>
          <w:highlight w:val="none"/>
          <w:lang w:eastAsia="zh-CN"/>
        </w:rPr>
        <w:fldChar w:fldCharType="end"/>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惠州</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公共资源交易中心</w:t>
      </w:r>
      <w:r>
        <w:rPr>
          <w:rFonts w:hint="eastAsia" w:ascii="仿宋_GB2312" w:hAnsi="仿宋_GB2312" w:eastAsia="仿宋_GB2312" w:cs="仿宋_GB2312"/>
          <w:b w:val="0"/>
          <w:bCs w:val="0"/>
          <w:color w:val="auto"/>
          <w:sz w:val="32"/>
          <w:szCs w:val="32"/>
          <w:highlight w:val="none"/>
          <w:lang w:eastAsia="zh-CN"/>
        </w:rPr>
        <w:t>仲恺分中心</w:t>
      </w:r>
      <w:r>
        <w:rPr>
          <w:rFonts w:hint="eastAsia" w:ascii="仿宋_GB2312" w:hAnsi="仿宋_GB2312" w:eastAsia="仿宋_GB2312" w:cs="仿宋_GB2312"/>
          <w:b w:val="0"/>
          <w:bCs w:val="0"/>
          <w:color w:val="auto"/>
          <w:sz w:val="32"/>
          <w:szCs w:val="32"/>
          <w:highlight w:val="none"/>
        </w:rPr>
        <w:t>服务大厅电子屏幕。</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联系电话：0752-7121029</w:t>
      </w:r>
    </w:p>
    <w:p>
      <w:pPr>
        <w:pStyle w:val="4"/>
        <w:keepNext w:val="0"/>
        <w:keepLines w:val="0"/>
        <w:pageBreakBefore w:val="0"/>
        <w:kinsoku/>
        <w:wordWrap/>
        <w:overflowPunct/>
        <w:topLinePunct w:val="0"/>
        <w:autoSpaceDE/>
        <w:autoSpaceDN/>
        <w:bidi w:val="0"/>
        <w:spacing w:line="520" w:lineRule="exact"/>
        <w:ind w:left="0" w:leftChars="0" w:firstLine="0" w:firstLineChars="0"/>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惠州仲恺高新区潼侨镇人民政府</w:t>
      </w: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_GB2312" w:eastAsia="仿宋_GB2312" w:cs="仿宋_GB2312"/>
          <w:b w:val="0"/>
          <w:bCs w:val="0"/>
          <w:color w:val="auto"/>
          <w:sz w:val="32"/>
          <w:szCs w:val="32"/>
          <w:highlight w:val="none"/>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t>惠州仲恺高新区潼侨镇红岗社区移民股份经济合作社                                       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non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u w:val="none"/>
          <w:lang w:val="en-US" w:eastAsia="zh-CN"/>
        </w:rPr>
        <w:t>日</w:t>
      </w:r>
    </w:p>
    <w:p>
      <w:pPr>
        <w:pStyle w:val="33"/>
        <w:keepNext w:val="0"/>
        <w:keepLines w:val="0"/>
        <w:widowControl w:val="0"/>
        <w:shd w:val="clear" w:color="auto" w:fill="auto"/>
        <w:bidi w:val="0"/>
        <w:spacing w:before="0" w:after="260" w:line="240" w:lineRule="auto"/>
        <w:ind w:left="0" w:leftChars="0" w:right="0" w:firstLine="0" w:firstLineChars="0"/>
        <w:jc w:val="left"/>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附表:</w:t>
      </w:r>
    </w:p>
    <w:p>
      <w:pPr>
        <w:pStyle w:val="34"/>
        <w:keepNext w:val="0"/>
        <w:keepLines w:val="0"/>
        <w:widowControl w:val="0"/>
        <w:shd w:val="clear" w:color="auto" w:fill="auto"/>
        <w:bidi w:val="0"/>
        <w:spacing w:before="0" w:after="0" w:line="240" w:lineRule="auto"/>
        <w:ind w:right="0"/>
        <w:jc w:val="center"/>
        <w:rPr>
          <w:rFonts w:hint="eastAsia" w:ascii="仿宋_GB2312" w:hAnsi="仿宋_GB2312" w:eastAsia="仿宋_GB2312" w:cs="仿宋_GB2312"/>
          <w:color w:val="000000"/>
          <w:spacing w:val="0"/>
          <w:w w:val="100"/>
          <w:position w:val="0"/>
          <w:sz w:val="44"/>
          <w:szCs w:val="44"/>
        </w:rPr>
      </w:pPr>
      <w:r>
        <w:rPr>
          <w:rFonts w:hint="eastAsia" w:ascii="方正小标宋_GBK" w:hAnsi="方正小标宋_GBK" w:eastAsia="方正小标宋_GBK" w:cs="方正小标宋_GBK"/>
          <w:color w:val="000000"/>
          <w:spacing w:val="0"/>
          <w:w w:val="100"/>
          <w:position w:val="0"/>
          <w:sz w:val="44"/>
          <w:szCs w:val="44"/>
        </w:rPr>
        <w:t>网上挂牌</w:t>
      </w:r>
      <w:r>
        <w:rPr>
          <w:rFonts w:hint="eastAsia" w:ascii="方正小标宋_GBK" w:hAnsi="方正小标宋_GBK" w:eastAsia="方正小标宋_GBK" w:cs="方正小标宋_GBK"/>
          <w:color w:val="000000"/>
          <w:spacing w:val="0"/>
          <w:w w:val="100"/>
          <w:position w:val="0"/>
          <w:sz w:val="44"/>
          <w:szCs w:val="44"/>
          <w:lang w:eastAsia="zh-CN"/>
        </w:rPr>
        <w:t>转让</w:t>
      </w:r>
      <w:r>
        <w:rPr>
          <w:rFonts w:hint="eastAsia" w:ascii="方正小标宋_GBK" w:hAnsi="方正小标宋_GBK" w:eastAsia="方正小标宋_GBK" w:cs="方正小标宋_GBK"/>
          <w:color w:val="000000"/>
          <w:spacing w:val="0"/>
          <w:w w:val="100"/>
          <w:position w:val="0"/>
          <w:sz w:val="44"/>
          <w:szCs w:val="44"/>
        </w:rPr>
        <w:t>地块基本情况及规划建设指标</w:t>
      </w:r>
    </w:p>
    <w:p>
      <w:pPr>
        <w:pStyle w:val="34"/>
        <w:keepNext w:val="0"/>
        <w:keepLines w:val="0"/>
        <w:widowControl w:val="0"/>
        <w:shd w:val="clear" w:color="auto" w:fill="auto"/>
        <w:bidi w:val="0"/>
        <w:spacing w:before="0" w:after="0" w:line="240" w:lineRule="auto"/>
        <w:ind w:right="0"/>
        <w:jc w:val="center"/>
        <w:rPr>
          <w:rFonts w:hint="eastAsia" w:ascii="仿宋_GB2312" w:hAnsi="仿宋_GB2312" w:eastAsia="仿宋_GB2312" w:cs="仿宋_GB2312"/>
          <w:color w:val="000000"/>
          <w:spacing w:val="0"/>
          <w:w w:val="100"/>
          <w:position w:val="0"/>
        </w:rPr>
      </w:pPr>
    </w:p>
    <w:tbl>
      <w:tblPr>
        <w:tblStyle w:val="9"/>
        <w:tblW w:w="15612" w:type="dxa"/>
        <w:jc w:val="center"/>
        <w:tblLayout w:type="fixed"/>
        <w:tblCellMar>
          <w:top w:w="0" w:type="dxa"/>
          <w:left w:w="10" w:type="dxa"/>
          <w:bottom w:w="0" w:type="dxa"/>
          <w:right w:w="10" w:type="dxa"/>
        </w:tblCellMar>
      </w:tblPr>
      <w:tblGrid>
        <w:gridCol w:w="642"/>
        <w:gridCol w:w="630"/>
        <w:gridCol w:w="1140"/>
        <w:gridCol w:w="642"/>
        <w:gridCol w:w="1445"/>
        <w:gridCol w:w="1036"/>
        <w:gridCol w:w="1005"/>
        <w:gridCol w:w="1740"/>
        <w:gridCol w:w="678"/>
        <w:gridCol w:w="1173"/>
        <w:gridCol w:w="1159"/>
        <w:gridCol w:w="698"/>
        <w:gridCol w:w="864"/>
        <w:gridCol w:w="840"/>
        <w:gridCol w:w="1056"/>
        <w:gridCol w:w="864"/>
      </w:tblGrid>
      <w:tr>
        <w:trPr>
          <w:trHeight w:val="432" w:hRule="exact"/>
          <w:jc w:val="center"/>
        </w:trPr>
        <w:tc>
          <w:tcPr>
            <w:tcW w:w="642" w:type="dxa"/>
            <w:vMerge w:val="restart"/>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挂牌地块编号</w:t>
            </w:r>
          </w:p>
        </w:tc>
        <w:tc>
          <w:tcPr>
            <w:tcW w:w="630" w:type="dxa"/>
            <w:vMerge w:val="restart"/>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土地位置</w:t>
            </w:r>
          </w:p>
        </w:tc>
        <w:tc>
          <w:tcPr>
            <w:tcW w:w="1140" w:type="dxa"/>
            <w:vMerge w:val="restart"/>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rPr>
              <w:t>用地编</w:t>
            </w:r>
            <w:r>
              <w:rPr>
                <w:rFonts w:hint="eastAsia" w:ascii="宋体" w:hAnsi="宋体" w:eastAsia="宋体" w:cs="宋体"/>
                <w:color w:val="000000"/>
                <w:spacing w:val="0"/>
                <w:w w:val="100"/>
                <w:position w:val="0"/>
                <w:sz w:val="22"/>
                <w:szCs w:val="22"/>
                <w:lang w:val="en-US" w:eastAsia="zh-CN"/>
              </w:rPr>
              <w:t>号</w:t>
            </w:r>
          </w:p>
        </w:tc>
        <w:tc>
          <w:tcPr>
            <w:tcW w:w="642" w:type="dxa"/>
            <w:vMerge w:val="restart"/>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lang w:val="en-US" w:eastAsia="zh-CN"/>
              </w:rPr>
              <w:t>土</w:t>
            </w:r>
            <w:r>
              <w:rPr>
                <w:rFonts w:hint="eastAsia" w:ascii="宋体" w:hAnsi="宋体" w:eastAsia="宋体" w:cs="宋体"/>
                <w:color w:val="000000"/>
                <w:spacing w:val="0"/>
                <w:w w:val="100"/>
                <w:position w:val="0"/>
                <w:sz w:val="22"/>
                <w:szCs w:val="22"/>
              </w:rPr>
              <w:t>地用途</w:t>
            </w:r>
          </w:p>
        </w:tc>
        <w:tc>
          <w:tcPr>
            <w:tcW w:w="8236" w:type="dxa"/>
            <w:gridSpan w:val="7"/>
            <w:tcBorders>
              <w:top w:val="single" w:color="auto" w:sz="4" w:space="0"/>
              <w:left w:val="single" w:color="auto" w:sz="4" w:space="0"/>
            </w:tcBorders>
            <w:shd w:val="clear" w:color="auto" w:fill="FFFFFF"/>
            <w:vAlign w:val="bottom"/>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规划指标要求</w:t>
            </w:r>
          </w:p>
        </w:tc>
        <w:tc>
          <w:tcPr>
            <w:tcW w:w="698" w:type="dxa"/>
            <w:vMerge w:val="restart"/>
            <w:tcBorders>
              <w:top w:val="single" w:color="auto" w:sz="4" w:space="0"/>
              <w:left w:val="single" w:color="auto" w:sz="4" w:space="0"/>
              <w:righ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转让</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年限</w:t>
            </w: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lang w:val="en-US" w:eastAsia="zh-CN"/>
              </w:rPr>
              <w:t>年）</w:t>
            </w:r>
          </w:p>
        </w:tc>
        <w:tc>
          <w:tcPr>
            <w:tcW w:w="864" w:type="dxa"/>
            <w:vMerge w:val="restart"/>
            <w:tcBorders>
              <w:top w:val="single" w:color="auto" w:sz="4" w:space="0"/>
              <w:left w:val="single" w:color="auto" w:sz="4" w:space="0"/>
              <w:righ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挂牌</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起始价（万元）</w:t>
            </w:r>
          </w:p>
        </w:tc>
        <w:tc>
          <w:tcPr>
            <w:tcW w:w="840" w:type="dxa"/>
            <w:vMerge w:val="restart"/>
            <w:tcBorders>
              <w:top w:val="single" w:color="auto" w:sz="4" w:space="0"/>
              <w:left w:val="single" w:color="auto" w:sz="4" w:space="0"/>
              <w:righ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加价</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幅度</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（万元）</w:t>
            </w:r>
          </w:p>
        </w:tc>
        <w:tc>
          <w:tcPr>
            <w:tcW w:w="1056" w:type="dxa"/>
            <w:vMerge w:val="restart"/>
            <w:tcBorders>
              <w:top w:val="single" w:color="auto" w:sz="4" w:space="0"/>
              <w:left w:val="single" w:color="auto" w:sz="4" w:space="0"/>
              <w:righ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竞买</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保证金</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（万元）</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tc>
        <w:tc>
          <w:tcPr>
            <w:tcW w:w="864" w:type="dxa"/>
            <w:vMerge w:val="restart"/>
            <w:tcBorders>
              <w:top w:val="single" w:color="auto" w:sz="4" w:space="0"/>
              <w:left w:val="single" w:color="auto" w:sz="4" w:space="0"/>
              <w:righ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保证金截止时间</w:t>
            </w:r>
          </w:p>
        </w:tc>
      </w:tr>
      <w:tr>
        <w:tblPrEx>
          <w:tblCellMar>
            <w:top w:w="0" w:type="dxa"/>
            <w:left w:w="10" w:type="dxa"/>
            <w:bottom w:w="0" w:type="dxa"/>
            <w:right w:w="10" w:type="dxa"/>
          </w:tblCellMar>
        </w:tblPrEx>
        <w:trPr>
          <w:trHeight w:val="1433" w:hRule="exact"/>
          <w:jc w:val="center"/>
        </w:trPr>
        <w:tc>
          <w:tcPr>
            <w:tcW w:w="642" w:type="dxa"/>
            <w:vMerge w:val="continue"/>
            <w:tcBorders>
              <w:left w:val="single" w:color="auto" w:sz="4" w:space="0"/>
            </w:tcBorders>
            <w:shd w:val="clear" w:color="auto" w:fill="FFFFFF"/>
            <w:vAlign w:val="center"/>
          </w:tcPr>
          <w:p>
            <w:pPr>
              <w:jc w:val="center"/>
              <w:rPr>
                <w:rFonts w:hint="eastAsia" w:ascii="宋体" w:hAnsi="宋体" w:eastAsia="宋体" w:cs="宋体"/>
              </w:rPr>
            </w:pPr>
          </w:p>
        </w:tc>
        <w:tc>
          <w:tcPr>
            <w:tcW w:w="630" w:type="dxa"/>
            <w:vMerge w:val="continue"/>
            <w:tcBorders>
              <w:left w:val="single" w:color="auto" w:sz="4" w:space="0"/>
            </w:tcBorders>
            <w:shd w:val="clear" w:color="auto" w:fill="FFFFFF"/>
            <w:vAlign w:val="center"/>
          </w:tcPr>
          <w:p>
            <w:pPr>
              <w:jc w:val="center"/>
              <w:rPr>
                <w:rFonts w:hint="eastAsia" w:ascii="宋体" w:hAnsi="宋体" w:eastAsia="宋体" w:cs="宋体"/>
              </w:rPr>
            </w:pPr>
          </w:p>
        </w:tc>
        <w:tc>
          <w:tcPr>
            <w:tcW w:w="1140" w:type="dxa"/>
            <w:vMerge w:val="continue"/>
            <w:tcBorders>
              <w:left w:val="single" w:color="auto" w:sz="4" w:space="0"/>
            </w:tcBorders>
            <w:shd w:val="clear" w:color="auto" w:fill="FFFFFF"/>
            <w:vAlign w:val="center"/>
          </w:tcPr>
          <w:p>
            <w:pPr>
              <w:jc w:val="center"/>
              <w:rPr>
                <w:rFonts w:hint="eastAsia" w:ascii="宋体" w:hAnsi="宋体" w:eastAsia="宋体" w:cs="宋体"/>
              </w:rPr>
            </w:pPr>
          </w:p>
        </w:tc>
        <w:tc>
          <w:tcPr>
            <w:tcW w:w="642" w:type="dxa"/>
            <w:vMerge w:val="continue"/>
            <w:tcBorders>
              <w:left w:val="single" w:color="auto" w:sz="4" w:space="0"/>
            </w:tcBorders>
            <w:shd w:val="clear" w:color="auto" w:fill="FFFFFF"/>
            <w:vAlign w:val="center"/>
          </w:tcPr>
          <w:p>
            <w:pPr>
              <w:jc w:val="center"/>
              <w:rPr>
                <w:rFonts w:hint="eastAsia" w:ascii="宋体" w:hAnsi="宋体" w:eastAsia="宋体" w:cs="宋体"/>
              </w:rPr>
            </w:pPr>
          </w:p>
        </w:tc>
        <w:tc>
          <w:tcPr>
            <w:tcW w:w="1445" w:type="dxa"/>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计算指标用地面积</w:t>
            </w: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lang w:val="en-US" w:eastAsia="zh-CN"/>
              </w:rPr>
              <w:t>㎡）</w:t>
            </w:r>
          </w:p>
        </w:tc>
        <w:tc>
          <w:tcPr>
            <w:tcW w:w="1036" w:type="dxa"/>
            <w:tcBorders>
              <w:top w:val="single" w:color="auto" w:sz="4" w:space="0"/>
              <w:lef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建</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筑</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密</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度</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ascii="宋体" w:hAnsi="宋体" w:eastAsia="宋体" w:cs="宋体"/>
                <w:color w:val="000000"/>
                <w:spacing w:val="0"/>
                <w:w w:val="100"/>
                <w:position w:val="0"/>
                <w:sz w:val="22"/>
                <w:szCs w:val="22"/>
                <w:lang w:val="en-US"/>
              </w:rPr>
            </w:pPr>
            <w:r>
              <w:rPr>
                <w:rFonts w:hint="eastAsia" w:ascii="宋体" w:hAnsi="宋体" w:eastAsia="宋体" w:cs="宋体"/>
                <w:color w:val="000000"/>
                <w:spacing w:val="0"/>
                <w:w w:val="100"/>
                <w:position w:val="0"/>
                <w:sz w:val="22"/>
                <w:szCs w:val="22"/>
                <w:lang w:val="en-US" w:eastAsia="zh-CN"/>
              </w:rPr>
              <w:t>（%）</w:t>
            </w:r>
          </w:p>
        </w:tc>
        <w:tc>
          <w:tcPr>
            <w:tcW w:w="1005" w:type="dxa"/>
            <w:tcBorders>
              <w:top w:val="single" w:color="auto" w:sz="4" w:space="0"/>
              <w:lef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容</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积</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率</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R</w:t>
            </w:r>
          </w:p>
        </w:tc>
        <w:tc>
          <w:tcPr>
            <w:tcW w:w="1740" w:type="dxa"/>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rPr>
              <w:t>计容积率建筑面积</w:t>
            </w:r>
            <w:r>
              <w:rPr>
                <w:rFonts w:hint="eastAsia" w:ascii="宋体" w:hAnsi="宋体" w:eastAsia="宋体" w:cs="宋体"/>
                <w:color w:val="000000"/>
                <w:spacing w:val="0"/>
                <w:w w:val="100"/>
                <w:position w:val="0"/>
                <w:sz w:val="22"/>
                <w:szCs w:val="22"/>
                <w:lang w:val="en-US" w:eastAsia="zh-CN"/>
              </w:rPr>
              <w:t>S</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lang w:val="en-US" w:eastAsia="zh-CN"/>
              </w:rPr>
              <w:t>㎡）</w:t>
            </w:r>
          </w:p>
        </w:tc>
        <w:tc>
          <w:tcPr>
            <w:tcW w:w="678" w:type="dxa"/>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rPr>
              <w:t>绿地率</w:t>
            </w:r>
            <w:r>
              <w:rPr>
                <w:rFonts w:hint="eastAsia" w:ascii="宋体" w:hAnsi="宋体" w:eastAsia="宋体" w:cs="宋体"/>
                <w:color w:val="000000"/>
                <w:spacing w:val="0"/>
                <w:w w:val="100"/>
                <w:position w:val="0"/>
                <w:sz w:val="22"/>
                <w:szCs w:val="22"/>
                <w:lang w:val="en-US" w:eastAsia="zh-CN"/>
              </w:rPr>
              <w:t>（%）</w:t>
            </w:r>
          </w:p>
        </w:tc>
        <w:tc>
          <w:tcPr>
            <w:tcW w:w="1173" w:type="dxa"/>
            <w:tcBorders>
              <w:top w:val="single" w:color="auto" w:sz="4" w:space="0"/>
              <w:lef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zh-TW" w:eastAsia="zh-TW"/>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lang w:val="zh-TW" w:eastAsia="zh-TW"/>
              </w:rPr>
              <w:t>机动车停车位配建要求</w:t>
            </w:r>
          </w:p>
        </w:tc>
        <w:tc>
          <w:tcPr>
            <w:tcW w:w="1159" w:type="dxa"/>
            <w:tcBorders>
              <w:top w:val="single" w:color="auto" w:sz="4" w:space="0"/>
              <w:left w:val="single" w:color="auto" w:sz="4" w:space="0"/>
            </w:tcBorders>
            <w:shd w:val="clear" w:color="auto" w:fill="FFFFFF"/>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其他</w:t>
            </w:r>
          </w:p>
        </w:tc>
        <w:tc>
          <w:tcPr>
            <w:tcW w:w="698" w:type="dxa"/>
            <w:vMerge w:val="continue"/>
            <w:tcBorders>
              <w:left w:val="single" w:color="auto" w:sz="4" w:space="0"/>
              <w:right w:val="single" w:color="auto" w:sz="4" w:space="0"/>
            </w:tcBorders>
            <w:shd w:val="clear" w:color="auto" w:fill="FFFFFF"/>
            <w:textDirection w:val="tbRlV"/>
            <w:vAlign w:val="top"/>
          </w:tcPr>
          <w:p>
            <w:pPr>
              <w:pStyle w:val="36"/>
              <w:keepNext w:val="0"/>
              <w:keepLines w:val="0"/>
              <w:pageBreakBefore w:val="0"/>
              <w:widowControl w:val="0"/>
              <w:shd w:val="clear" w:color="auto" w:fill="auto"/>
              <w:kinsoku/>
              <w:wordWrap/>
              <w:overflowPunct/>
              <w:topLinePunct w:val="0"/>
              <w:autoSpaceDE/>
              <w:autoSpaceDN/>
              <w:bidi w:val="0"/>
              <w:adjustRightInd/>
              <w:snapToGrid/>
              <w:spacing w:before="340" w:after="0" w:line="240" w:lineRule="auto"/>
              <w:ind w:left="0" w:right="0" w:firstLine="0"/>
              <w:jc w:val="center"/>
              <w:textAlignment w:val="auto"/>
              <w:rPr>
                <w:rFonts w:hint="eastAsia" w:ascii="宋体" w:hAnsi="宋体" w:eastAsia="宋体" w:cs="宋体"/>
                <w:lang w:val="en-US" w:eastAsia="zh-CN"/>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6"/>
              <w:keepNext w:val="0"/>
              <w:keepLines w:val="0"/>
              <w:widowControl w:val="0"/>
              <w:shd w:val="clear" w:color="auto" w:fill="auto"/>
              <w:bidi w:val="0"/>
              <w:spacing w:before="340" w:after="0" w:line="240" w:lineRule="auto"/>
              <w:ind w:left="0" w:right="0" w:firstLine="0"/>
              <w:jc w:val="center"/>
              <w:rPr>
                <w:rFonts w:hint="eastAsia" w:ascii="宋体" w:hAnsi="宋体" w:eastAsia="宋体" w:cs="宋体"/>
                <w:color w:val="000000"/>
                <w:spacing w:val="0"/>
                <w:w w:val="100"/>
                <w:position w:val="0"/>
              </w:rPr>
            </w:pPr>
          </w:p>
        </w:tc>
        <w:tc>
          <w:tcPr>
            <w:tcW w:w="840" w:type="dxa"/>
            <w:vMerge w:val="continue"/>
            <w:tcBorders>
              <w:left w:val="single" w:color="auto" w:sz="4" w:space="0"/>
              <w:right w:val="single" w:color="auto" w:sz="4" w:space="0"/>
            </w:tcBorders>
            <w:shd w:val="clear" w:color="auto" w:fill="FFFFFF"/>
            <w:textDirection w:val="tbRlV"/>
            <w:vAlign w:val="top"/>
          </w:tcPr>
          <w:p>
            <w:pPr>
              <w:pStyle w:val="36"/>
              <w:keepNext w:val="0"/>
              <w:keepLines w:val="0"/>
              <w:widowControl w:val="0"/>
              <w:shd w:val="clear" w:color="auto" w:fill="auto"/>
              <w:bidi w:val="0"/>
              <w:spacing w:before="340" w:after="0" w:line="240" w:lineRule="auto"/>
              <w:ind w:left="0" w:right="0" w:firstLine="0"/>
              <w:jc w:val="center"/>
              <w:rPr>
                <w:rFonts w:hint="eastAsia" w:ascii="宋体" w:hAnsi="宋体" w:eastAsia="宋体" w:cs="宋体"/>
                <w:color w:val="000000"/>
                <w:spacing w:val="0"/>
                <w:w w:val="100"/>
                <w:position w:val="0"/>
              </w:rPr>
            </w:pPr>
          </w:p>
        </w:tc>
        <w:tc>
          <w:tcPr>
            <w:tcW w:w="1056" w:type="dxa"/>
            <w:vMerge w:val="continue"/>
            <w:tcBorders>
              <w:left w:val="single" w:color="auto" w:sz="4" w:space="0"/>
              <w:right w:val="single" w:color="auto" w:sz="4" w:space="0"/>
            </w:tcBorders>
            <w:shd w:val="clear" w:color="auto" w:fill="FFFFFF"/>
            <w:textDirection w:val="tbRlV"/>
            <w:vAlign w:val="top"/>
          </w:tcPr>
          <w:p>
            <w:pPr>
              <w:pStyle w:val="36"/>
              <w:keepNext w:val="0"/>
              <w:keepLines w:val="0"/>
              <w:widowControl w:val="0"/>
              <w:shd w:val="clear" w:color="auto" w:fill="auto"/>
              <w:bidi w:val="0"/>
              <w:spacing w:before="340" w:after="0" w:line="240" w:lineRule="auto"/>
              <w:ind w:left="0" w:right="0" w:firstLine="0"/>
              <w:jc w:val="center"/>
              <w:rPr>
                <w:rFonts w:hint="eastAsia" w:ascii="宋体" w:hAnsi="宋体" w:eastAsia="宋体" w:cs="宋体"/>
                <w:color w:val="000000"/>
                <w:spacing w:val="0"/>
                <w:w w:val="100"/>
                <w:position w:val="0"/>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6"/>
              <w:keepNext w:val="0"/>
              <w:keepLines w:val="0"/>
              <w:widowControl w:val="0"/>
              <w:shd w:val="clear" w:color="auto" w:fill="auto"/>
              <w:bidi w:val="0"/>
              <w:spacing w:before="340" w:after="0" w:line="240" w:lineRule="auto"/>
              <w:ind w:left="0" w:right="0" w:firstLine="0"/>
              <w:jc w:val="center"/>
              <w:rPr>
                <w:rFonts w:hint="eastAsia" w:ascii="宋体" w:hAnsi="宋体" w:eastAsia="宋体" w:cs="宋体"/>
                <w:color w:val="000000"/>
                <w:spacing w:val="0"/>
                <w:w w:val="100"/>
                <w:position w:val="0"/>
              </w:rPr>
            </w:pPr>
          </w:p>
        </w:tc>
      </w:tr>
      <w:tr>
        <w:tblPrEx>
          <w:tblCellMar>
            <w:top w:w="0" w:type="dxa"/>
            <w:left w:w="10" w:type="dxa"/>
            <w:bottom w:w="0" w:type="dxa"/>
            <w:right w:w="10" w:type="dxa"/>
          </w:tblCellMar>
        </w:tblPrEx>
        <w:trPr>
          <w:trHeight w:val="3510" w:hRule="exact"/>
          <w:jc w:val="center"/>
        </w:trPr>
        <w:tc>
          <w:tcPr>
            <w:tcW w:w="64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惠仲土挂（转）告[2022]   001号</w:t>
            </w:r>
          </w:p>
          <w:p>
            <w:pPr>
              <w:widowControl w:val="0"/>
              <w:jc w:val="center"/>
              <w:rPr>
                <w:rFonts w:hint="eastAsia" w:ascii="宋体" w:hAnsi="宋体" w:eastAsia="宋体" w:cs="宋体"/>
                <w:sz w:val="10"/>
                <w:szCs w:val="10"/>
              </w:rPr>
            </w:pPr>
          </w:p>
        </w:tc>
        <w:tc>
          <w:tcPr>
            <w:tcW w:w="63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惠州仲恺高新区潼侨镇</w:t>
            </w:r>
          </w:p>
        </w:tc>
        <w:tc>
          <w:tcPr>
            <w:tcW w:w="114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ZKC-045-25</w:t>
            </w:r>
          </w:p>
        </w:tc>
        <w:tc>
          <w:tcPr>
            <w:tcW w:w="64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住宅及商服用地</w:t>
            </w:r>
          </w:p>
        </w:tc>
        <w:tc>
          <w:tcPr>
            <w:tcW w:w="1445"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25307</w:t>
            </w:r>
          </w:p>
        </w:tc>
        <w:tc>
          <w:tcPr>
            <w:tcW w:w="103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1005"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≤3.1</w:t>
            </w:r>
          </w:p>
        </w:tc>
        <w:tc>
          <w:tcPr>
            <w:tcW w:w="174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≤78452</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（其中商业建筑面积≤2761㎡）</w:t>
            </w:r>
          </w:p>
        </w:tc>
        <w:tc>
          <w:tcPr>
            <w:tcW w:w="67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1173"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按每100㎡计容积率建筑面积≥1个配建</w:t>
            </w:r>
          </w:p>
        </w:tc>
        <w:tc>
          <w:tcPr>
            <w:tcW w:w="1159"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其他未明确事宜应按照新的政策、规定等的要求执行</w:t>
            </w: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住宅</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70年</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、商服</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lang w:val="en-US" w:eastAsia="zh-CN"/>
              </w:rPr>
            </w:pPr>
            <w:r>
              <w:rPr>
                <w:rFonts w:hint="eastAsia" w:ascii="宋体" w:hAnsi="宋体" w:eastAsia="宋体" w:cs="宋体"/>
                <w:sz w:val="20"/>
                <w:szCs w:val="20"/>
                <w:lang w:val="en-US" w:eastAsia="zh-CN"/>
              </w:rPr>
              <w:t>40年</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9363</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200</w:t>
            </w:r>
          </w:p>
        </w:tc>
        <w:tc>
          <w:tcPr>
            <w:tcW w:w="10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4681</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2022年12月</w:t>
            </w:r>
            <w:r>
              <w:rPr>
                <w:rFonts w:hint="eastAsia" w:ascii="宋体" w:hAnsi="宋体" w:cs="宋体"/>
                <w:sz w:val="20"/>
                <w:szCs w:val="20"/>
                <w:lang w:val="en-US" w:eastAsia="zh-CN"/>
              </w:rPr>
              <w:t>12</w:t>
            </w:r>
            <w:r>
              <w:rPr>
                <w:rFonts w:hint="eastAsia" w:ascii="宋体" w:hAnsi="宋体" w:eastAsia="宋体" w:cs="宋体"/>
                <w:sz w:val="20"/>
                <w:szCs w:val="20"/>
                <w:lang w:val="en-US" w:eastAsia="zh-CN"/>
              </w:rPr>
              <w:t>日9时</w:t>
            </w:r>
          </w:p>
        </w:tc>
      </w:tr>
    </w:tbl>
    <w:p>
      <w:pPr>
        <w:pStyle w:val="3"/>
        <w:rPr>
          <w:rFonts w:hint="default" w:ascii="Times New Roman" w:hAnsi="Times New Roman" w:cs="Times New Roman"/>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1216660</wp:posOffset>
              </wp:positionH>
              <wp:positionV relativeFrom="page">
                <wp:posOffset>10060305</wp:posOffset>
              </wp:positionV>
              <wp:extent cx="420370" cy="82550"/>
              <wp:effectExtent l="0" t="0" r="0" b="0"/>
              <wp:wrapNone/>
              <wp:docPr id="54" name="Shape 54"/>
              <wp:cNvGraphicFramePr/>
              <a:graphic xmlns:a="http://schemas.openxmlformats.org/drawingml/2006/main">
                <a:graphicData uri="http://schemas.microsoft.com/office/word/2010/wordprocessingShape">
                  <wps:wsp>
                    <wps:cNvSpPr txBox="1"/>
                    <wps:spPr>
                      <a:xfrm>
                        <a:off x="0" y="0"/>
                        <a:ext cx="420370" cy="82550"/>
                      </a:xfrm>
                      <a:prstGeom prst="rect">
                        <a:avLst/>
                      </a:prstGeom>
                      <a:noFill/>
                    </wps:spPr>
                    <wps:txbx>
                      <w:txbxContent>
                        <w:p>
                          <w:pPr>
                            <w:pStyle w:val="3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54" o:spid="_x0000_s1026" o:spt="202" type="#_x0000_t202" style="position:absolute;left:0pt;margin-left:95.8pt;margin-top:792.15pt;height:6.5pt;width:33.1pt;mso-position-horizontal-relative:page;mso-position-vertical-relative:page;mso-wrap-style:none;z-index:-251656192;mso-width-relative:page;mso-height-relative:page;" filled="f" stroked="f" coordsize="21600,21600" o:gfxdata="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McBtytkAAAANAQAADwAAAAAAAAABACAAAAAiAAAAZHJzL2Rv&#10;d25yZXYueG1sUEsBAhQAFAAAAAgAh07iQElhv8yOAQAAIgMAAA4AAAAAAAAAAQAgAAAAKAEAAGRy&#10;cy9lMm9Eb2MueG1sUEsFBgAAAAAGAAYAWQEAACgFAAAAAA==&#10;">
              <v:fill on="f" focussize="0,0"/>
              <v:stroke on="f"/>
              <v:imagedata o:title=""/>
              <o:lock v:ext="edit" aspectratio="f"/>
              <v:textbox inset="0mm,0mm,0mm,0mm" style="mso-fit-shape-to-text:t;">
                <w:txbxContent>
                  <w:p>
                    <w:pPr>
                      <w:pStyle w:val="3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MDBmMzNiYjBlYTI5MDA3YTcxNzUzODBiMjYzNjMifQ=="/>
  </w:docVars>
  <w:rsids>
    <w:rsidRoot w:val="006F43B4"/>
    <w:rsid w:val="00055381"/>
    <w:rsid w:val="00156890"/>
    <w:rsid w:val="00291F43"/>
    <w:rsid w:val="003846E2"/>
    <w:rsid w:val="003D7B27"/>
    <w:rsid w:val="00447219"/>
    <w:rsid w:val="00502E7E"/>
    <w:rsid w:val="00593588"/>
    <w:rsid w:val="00626965"/>
    <w:rsid w:val="00651A33"/>
    <w:rsid w:val="006F43B4"/>
    <w:rsid w:val="00723053"/>
    <w:rsid w:val="008237B5"/>
    <w:rsid w:val="009D3A41"/>
    <w:rsid w:val="009F2092"/>
    <w:rsid w:val="009F209E"/>
    <w:rsid w:val="00A01903"/>
    <w:rsid w:val="00A26F37"/>
    <w:rsid w:val="00A62B04"/>
    <w:rsid w:val="00A703FF"/>
    <w:rsid w:val="00AB4CB1"/>
    <w:rsid w:val="00AB5656"/>
    <w:rsid w:val="00AE30A8"/>
    <w:rsid w:val="00B4275A"/>
    <w:rsid w:val="00B91373"/>
    <w:rsid w:val="00C31E7B"/>
    <w:rsid w:val="00D304ED"/>
    <w:rsid w:val="00D75C64"/>
    <w:rsid w:val="00E01788"/>
    <w:rsid w:val="00E070AA"/>
    <w:rsid w:val="00E47A66"/>
    <w:rsid w:val="00E80445"/>
    <w:rsid w:val="00EC232A"/>
    <w:rsid w:val="00EC35A5"/>
    <w:rsid w:val="010E6025"/>
    <w:rsid w:val="012F32FC"/>
    <w:rsid w:val="01587D16"/>
    <w:rsid w:val="01A04759"/>
    <w:rsid w:val="01A836F9"/>
    <w:rsid w:val="01D06FC7"/>
    <w:rsid w:val="023E1725"/>
    <w:rsid w:val="02421D02"/>
    <w:rsid w:val="02D944DD"/>
    <w:rsid w:val="03215F17"/>
    <w:rsid w:val="032B1553"/>
    <w:rsid w:val="03894842"/>
    <w:rsid w:val="038C1DF1"/>
    <w:rsid w:val="039F6E44"/>
    <w:rsid w:val="03AE3097"/>
    <w:rsid w:val="03B0364C"/>
    <w:rsid w:val="043B3692"/>
    <w:rsid w:val="0486528B"/>
    <w:rsid w:val="048A0C4C"/>
    <w:rsid w:val="04AA17FE"/>
    <w:rsid w:val="051D4088"/>
    <w:rsid w:val="05AA6335"/>
    <w:rsid w:val="05F54D6D"/>
    <w:rsid w:val="06247E21"/>
    <w:rsid w:val="067362EB"/>
    <w:rsid w:val="068117B6"/>
    <w:rsid w:val="06B56267"/>
    <w:rsid w:val="06C26A7A"/>
    <w:rsid w:val="075570AE"/>
    <w:rsid w:val="07E4525D"/>
    <w:rsid w:val="08862FB2"/>
    <w:rsid w:val="08C34239"/>
    <w:rsid w:val="08D60EA5"/>
    <w:rsid w:val="093241F1"/>
    <w:rsid w:val="09402008"/>
    <w:rsid w:val="09B315DE"/>
    <w:rsid w:val="09B547AB"/>
    <w:rsid w:val="09DF5450"/>
    <w:rsid w:val="09EE122C"/>
    <w:rsid w:val="0A1E2AE2"/>
    <w:rsid w:val="0A7A2C86"/>
    <w:rsid w:val="0AAA4E9F"/>
    <w:rsid w:val="0AE876EE"/>
    <w:rsid w:val="0B3C33E2"/>
    <w:rsid w:val="0B782843"/>
    <w:rsid w:val="0C1F3E50"/>
    <w:rsid w:val="0C7472F1"/>
    <w:rsid w:val="0C77776E"/>
    <w:rsid w:val="0CAD1C6D"/>
    <w:rsid w:val="0CB25270"/>
    <w:rsid w:val="0CE4226E"/>
    <w:rsid w:val="0CFA681C"/>
    <w:rsid w:val="0D00633F"/>
    <w:rsid w:val="0DAE7B73"/>
    <w:rsid w:val="0DD737A7"/>
    <w:rsid w:val="0DFD55A7"/>
    <w:rsid w:val="0E156E70"/>
    <w:rsid w:val="0E1D2DC4"/>
    <w:rsid w:val="0E2071F3"/>
    <w:rsid w:val="0E2422EE"/>
    <w:rsid w:val="0E2C2AB5"/>
    <w:rsid w:val="0E4D7DC4"/>
    <w:rsid w:val="0E552A43"/>
    <w:rsid w:val="0E691595"/>
    <w:rsid w:val="0E761E24"/>
    <w:rsid w:val="0E970C12"/>
    <w:rsid w:val="0EC548DF"/>
    <w:rsid w:val="0F451B94"/>
    <w:rsid w:val="101713C8"/>
    <w:rsid w:val="102713DB"/>
    <w:rsid w:val="10687CF5"/>
    <w:rsid w:val="10796E30"/>
    <w:rsid w:val="10871E8E"/>
    <w:rsid w:val="10B86C1D"/>
    <w:rsid w:val="10D917CA"/>
    <w:rsid w:val="11031B8B"/>
    <w:rsid w:val="110903F6"/>
    <w:rsid w:val="11456B59"/>
    <w:rsid w:val="116B23F9"/>
    <w:rsid w:val="11871C18"/>
    <w:rsid w:val="11A71763"/>
    <w:rsid w:val="11AE5AAA"/>
    <w:rsid w:val="122430A9"/>
    <w:rsid w:val="12567765"/>
    <w:rsid w:val="12582EBE"/>
    <w:rsid w:val="12957422"/>
    <w:rsid w:val="12BB2171"/>
    <w:rsid w:val="12C92A41"/>
    <w:rsid w:val="12FD7D69"/>
    <w:rsid w:val="13055F11"/>
    <w:rsid w:val="137D5DDD"/>
    <w:rsid w:val="13D04CD7"/>
    <w:rsid w:val="13DC2CB8"/>
    <w:rsid w:val="14221D35"/>
    <w:rsid w:val="142B1DB1"/>
    <w:rsid w:val="149964E9"/>
    <w:rsid w:val="15173084"/>
    <w:rsid w:val="1582435D"/>
    <w:rsid w:val="15C97374"/>
    <w:rsid w:val="163F24D7"/>
    <w:rsid w:val="16451891"/>
    <w:rsid w:val="16586BE9"/>
    <w:rsid w:val="166F2BF1"/>
    <w:rsid w:val="171E6442"/>
    <w:rsid w:val="1742267B"/>
    <w:rsid w:val="1765414D"/>
    <w:rsid w:val="17874DAF"/>
    <w:rsid w:val="1794192C"/>
    <w:rsid w:val="179E037C"/>
    <w:rsid w:val="17A4202A"/>
    <w:rsid w:val="17E750B2"/>
    <w:rsid w:val="17EA1735"/>
    <w:rsid w:val="17EC7944"/>
    <w:rsid w:val="17FC1602"/>
    <w:rsid w:val="181B75A7"/>
    <w:rsid w:val="18613BC1"/>
    <w:rsid w:val="186E24D6"/>
    <w:rsid w:val="187E669C"/>
    <w:rsid w:val="18A654E8"/>
    <w:rsid w:val="18C92B9F"/>
    <w:rsid w:val="18CD1A39"/>
    <w:rsid w:val="18D217BE"/>
    <w:rsid w:val="18D279DA"/>
    <w:rsid w:val="18F7132C"/>
    <w:rsid w:val="19143801"/>
    <w:rsid w:val="19267A1B"/>
    <w:rsid w:val="198C55A6"/>
    <w:rsid w:val="19CD3D1D"/>
    <w:rsid w:val="1A1838ED"/>
    <w:rsid w:val="1A31098E"/>
    <w:rsid w:val="1A511BE3"/>
    <w:rsid w:val="1A9867A5"/>
    <w:rsid w:val="1A9A558C"/>
    <w:rsid w:val="1AC579BC"/>
    <w:rsid w:val="1AFA71C6"/>
    <w:rsid w:val="1AFF24CB"/>
    <w:rsid w:val="1B143084"/>
    <w:rsid w:val="1B1E785A"/>
    <w:rsid w:val="1B261919"/>
    <w:rsid w:val="1B2A00D1"/>
    <w:rsid w:val="1B7347F4"/>
    <w:rsid w:val="1B7A4B82"/>
    <w:rsid w:val="1BB23779"/>
    <w:rsid w:val="1BE73F47"/>
    <w:rsid w:val="1C024584"/>
    <w:rsid w:val="1C386060"/>
    <w:rsid w:val="1C3867AA"/>
    <w:rsid w:val="1C486289"/>
    <w:rsid w:val="1C8B4AB0"/>
    <w:rsid w:val="1C8F4B89"/>
    <w:rsid w:val="1C9A1178"/>
    <w:rsid w:val="1D064DF7"/>
    <w:rsid w:val="1D097D20"/>
    <w:rsid w:val="1D4D39AE"/>
    <w:rsid w:val="1D5C4003"/>
    <w:rsid w:val="1D6F464E"/>
    <w:rsid w:val="1D9E5A0C"/>
    <w:rsid w:val="1D9F5CDA"/>
    <w:rsid w:val="1DC001DA"/>
    <w:rsid w:val="1DE81154"/>
    <w:rsid w:val="1DFA5F85"/>
    <w:rsid w:val="1E095370"/>
    <w:rsid w:val="1E1040EB"/>
    <w:rsid w:val="1E904230"/>
    <w:rsid w:val="1E9A27C7"/>
    <w:rsid w:val="1EA56328"/>
    <w:rsid w:val="1FB172BE"/>
    <w:rsid w:val="1FB504FE"/>
    <w:rsid w:val="1FE77AEB"/>
    <w:rsid w:val="1FFA383F"/>
    <w:rsid w:val="20081950"/>
    <w:rsid w:val="20671C22"/>
    <w:rsid w:val="207F541D"/>
    <w:rsid w:val="20851B07"/>
    <w:rsid w:val="20990B2A"/>
    <w:rsid w:val="20AB6596"/>
    <w:rsid w:val="20FB3E37"/>
    <w:rsid w:val="210449A9"/>
    <w:rsid w:val="21264E5A"/>
    <w:rsid w:val="21EC2556"/>
    <w:rsid w:val="224E20DB"/>
    <w:rsid w:val="22845047"/>
    <w:rsid w:val="22937891"/>
    <w:rsid w:val="229D5685"/>
    <w:rsid w:val="22D05BCD"/>
    <w:rsid w:val="233A4922"/>
    <w:rsid w:val="23532358"/>
    <w:rsid w:val="23703D7C"/>
    <w:rsid w:val="237161ED"/>
    <w:rsid w:val="23B47AA8"/>
    <w:rsid w:val="23E448D4"/>
    <w:rsid w:val="24610AB5"/>
    <w:rsid w:val="24A80447"/>
    <w:rsid w:val="24C5659C"/>
    <w:rsid w:val="250733D2"/>
    <w:rsid w:val="250E39D7"/>
    <w:rsid w:val="2512508F"/>
    <w:rsid w:val="268412E8"/>
    <w:rsid w:val="26D81FCD"/>
    <w:rsid w:val="26EE79E1"/>
    <w:rsid w:val="27452191"/>
    <w:rsid w:val="27BC0E8D"/>
    <w:rsid w:val="284500B9"/>
    <w:rsid w:val="285B64DE"/>
    <w:rsid w:val="288E613F"/>
    <w:rsid w:val="288F3A27"/>
    <w:rsid w:val="28951D46"/>
    <w:rsid w:val="294D7612"/>
    <w:rsid w:val="29721939"/>
    <w:rsid w:val="29B407A4"/>
    <w:rsid w:val="29E1316E"/>
    <w:rsid w:val="29F80FE7"/>
    <w:rsid w:val="2A492717"/>
    <w:rsid w:val="2A8D1AA1"/>
    <w:rsid w:val="2AB64B85"/>
    <w:rsid w:val="2AB9671B"/>
    <w:rsid w:val="2AC93E57"/>
    <w:rsid w:val="2AE47609"/>
    <w:rsid w:val="2AF5118B"/>
    <w:rsid w:val="2B786E5A"/>
    <w:rsid w:val="2BBE7984"/>
    <w:rsid w:val="2BE7051D"/>
    <w:rsid w:val="2C3B3035"/>
    <w:rsid w:val="2C4B24F8"/>
    <w:rsid w:val="2C8452BD"/>
    <w:rsid w:val="2C882001"/>
    <w:rsid w:val="2CB00876"/>
    <w:rsid w:val="2CD35376"/>
    <w:rsid w:val="2CE24A3F"/>
    <w:rsid w:val="2D4168DD"/>
    <w:rsid w:val="2D930E3D"/>
    <w:rsid w:val="2E134FFF"/>
    <w:rsid w:val="2EAC2783"/>
    <w:rsid w:val="2EDA6C9B"/>
    <w:rsid w:val="2F220213"/>
    <w:rsid w:val="2F2B38C7"/>
    <w:rsid w:val="2F442A87"/>
    <w:rsid w:val="2F6C6D41"/>
    <w:rsid w:val="2FE853E7"/>
    <w:rsid w:val="2FEE4E47"/>
    <w:rsid w:val="2FF53957"/>
    <w:rsid w:val="2FF85F65"/>
    <w:rsid w:val="303845C1"/>
    <w:rsid w:val="305E0F82"/>
    <w:rsid w:val="306E2102"/>
    <w:rsid w:val="30731155"/>
    <w:rsid w:val="30E43F00"/>
    <w:rsid w:val="30EB0787"/>
    <w:rsid w:val="30F82569"/>
    <w:rsid w:val="31575D41"/>
    <w:rsid w:val="31885CBB"/>
    <w:rsid w:val="318C005A"/>
    <w:rsid w:val="31B372D4"/>
    <w:rsid w:val="31D138F0"/>
    <w:rsid w:val="31D86DCF"/>
    <w:rsid w:val="31EB11BF"/>
    <w:rsid w:val="32083D0C"/>
    <w:rsid w:val="320D0E63"/>
    <w:rsid w:val="32150B1E"/>
    <w:rsid w:val="32465EC0"/>
    <w:rsid w:val="32AA1E9A"/>
    <w:rsid w:val="32BB0D3D"/>
    <w:rsid w:val="32C90259"/>
    <w:rsid w:val="330E1CEB"/>
    <w:rsid w:val="33175F2C"/>
    <w:rsid w:val="333131F2"/>
    <w:rsid w:val="33317857"/>
    <w:rsid w:val="334277A5"/>
    <w:rsid w:val="3363385F"/>
    <w:rsid w:val="337563F9"/>
    <w:rsid w:val="34013B56"/>
    <w:rsid w:val="342019D5"/>
    <w:rsid w:val="34682A11"/>
    <w:rsid w:val="346C251E"/>
    <w:rsid w:val="34AB1BAC"/>
    <w:rsid w:val="350557FF"/>
    <w:rsid w:val="358D16EC"/>
    <w:rsid w:val="35A767A8"/>
    <w:rsid w:val="35CC1B7F"/>
    <w:rsid w:val="36237854"/>
    <w:rsid w:val="36487787"/>
    <w:rsid w:val="36B32239"/>
    <w:rsid w:val="36B610CD"/>
    <w:rsid w:val="373F3F75"/>
    <w:rsid w:val="375546CA"/>
    <w:rsid w:val="37721A4B"/>
    <w:rsid w:val="37723635"/>
    <w:rsid w:val="380F19DC"/>
    <w:rsid w:val="383718CB"/>
    <w:rsid w:val="386A7C63"/>
    <w:rsid w:val="388A6997"/>
    <w:rsid w:val="388F49F0"/>
    <w:rsid w:val="38AF57A2"/>
    <w:rsid w:val="38CA6196"/>
    <w:rsid w:val="38DC1ADB"/>
    <w:rsid w:val="38F15DFA"/>
    <w:rsid w:val="38FC729A"/>
    <w:rsid w:val="39320FFB"/>
    <w:rsid w:val="39463E38"/>
    <w:rsid w:val="39E9024F"/>
    <w:rsid w:val="39FA4D33"/>
    <w:rsid w:val="3A3711CB"/>
    <w:rsid w:val="3A4173D7"/>
    <w:rsid w:val="3A5C1D13"/>
    <w:rsid w:val="3A5C1E5A"/>
    <w:rsid w:val="3A67420A"/>
    <w:rsid w:val="3A9B67B2"/>
    <w:rsid w:val="3AD66858"/>
    <w:rsid w:val="3AED171C"/>
    <w:rsid w:val="3B0E0F92"/>
    <w:rsid w:val="3B221787"/>
    <w:rsid w:val="3B34068A"/>
    <w:rsid w:val="3B366F3C"/>
    <w:rsid w:val="3B9610F4"/>
    <w:rsid w:val="3BB71C2D"/>
    <w:rsid w:val="3BD61A36"/>
    <w:rsid w:val="3BF67651"/>
    <w:rsid w:val="3C0318E0"/>
    <w:rsid w:val="3C7D1AA0"/>
    <w:rsid w:val="3CE73542"/>
    <w:rsid w:val="3CFF4A4C"/>
    <w:rsid w:val="3D152C6B"/>
    <w:rsid w:val="3DB611C5"/>
    <w:rsid w:val="3E062E3E"/>
    <w:rsid w:val="3E38578C"/>
    <w:rsid w:val="3E741032"/>
    <w:rsid w:val="3E7B06C6"/>
    <w:rsid w:val="3E7C38FB"/>
    <w:rsid w:val="3E7F648D"/>
    <w:rsid w:val="3E844C32"/>
    <w:rsid w:val="3EBE4111"/>
    <w:rsid w:val="3EC318D5"/>
    <w:rsid w:val="3F142B57"/>
    <w:rsid w:val="3F183A65"/>
    <w:rsid w:val="3F184148"/>
    <w:rsid w:val="3F1A7FAA"/>
    <w:rsid w:val="3F3E0AB4"/>
    <w:rsid w:val="3F984213"/>
    <w:rsid w:val="3FA73F8C"/>
    <w:rsid w:val="3FA952A0"/>
    <w:rsid w:val="3FC93E3E"/>
    <w:rsid w:val="3FCC330C"/>
    <w:rsid w:val="40004854"/>
    <w:rsid w:val="402B776A"/>
    <w:rsid w:val="404A24C0"/>
    <w:rsid w:val="406B30D4"/>
    <w:rsid w:val="40A30DAA"/>
    <w:rsid w:val="40F46A11"/>
    <w:rsid w:val="41572450"/>
    <w:rsid w:val="41777BB2"/>
    <w:rsid w:val="4186034B"/>
    <w:rsid w:val="418F6974"/>
    <w:rsid w:val="426F59B2"/>
    <w:rsid w:val="42712E83"/>
    <w:rsid w:val="428E2D29"/>
    <w:rsid w:val="429C7B55"/>
    <w:rsid w:val="431C21F1"/>
    <w:rsid w:val="43342476"/>
    <w:rsid w:val="433E3A34"/>
    <w:rsid w:val="43621D5E"/>
    <w:rsid w:val="43800C83"/>
    <w:rsid w:val="43D3409E"/>
    <w:rsid w:val="43D91C59"/>
    <w:rsid w:val="44552A62"/>
    <w:rsid w:val="445617D3"/>
    <w:rsid w:val="447957F2"/>
    <w:rsid w:val="44A86E9A"/>
    <w:rsid w:val="45176E5E"/>
    <w:rsid w:val="45644397"/>
    <w:rsid w:val="45696BDB"/>
    <w:rsid w:val="4582047B"/>
    <w:rsid w:val="465B0945"/>
    <w:rsid w:val="46B00671"/>
    <w:rsid w:val="46C925E7"/>
    <w:rsid w:val="46CF30CF"/>
    <w:rsid w:val="46F3537A"/>
    <w:rsid w:val="46FF2A91"/>
    <w:rsid w:val="47112BE0"/>
    <w:rsid w:val="47512873"/>
    <w:rsid w:val="479C0F46"/>
    <w:rsid w:val="47A47382"/>
    <w:rsid w:val="47C2216E"/>
    <w:rsid w:val="480F1ECA"/>
    <w:rsid w:val="48526CD7"/>
    <w:rsid w:val="485F7432"/>
    <w:rsid w:val="486B4F45"/>
    <w:rsid w:val="48841BE5"/>
    <w:rsid w:val="488A3AE1"/>
    <w:rsid w:val="48AA6498"/>
    <w:rsid w:val="48AD19E8"/>
    <w:rsid w:val="48BA7DF9"/>
    <w:rsid w:val="48E51899"/>
    <w:rsid w:val="49956A4F"/>
    <w:rsid w:val="49A23F46"/>
    <w:rsid w:val="49B02EDC"/>
    <w:rsid w:val="4A4812FE"/>
    <w:rsid w:val="4A730934"/>
    <w:rsid w:val="4B051CB3"/>
    <w:rsid w:val="4B1977A0"/>
    <w:rsid w:val="4B4F18E5"/>
    <w:rsid w:val="4B8E2BB5"/>
    <w:rsid w:val="4BCA492F"/>
    <w:rsid w:val="4BDA7851"/>
    <w:rsid w:val="4BDD0C15"/>
    <w:rsid w:val="4BE12620"/>
    <w:rsid w:val="4C112A28"/>
    <w:rsid w:val="4C367EE2"/>
    <w:rsid w:val="4C3E0A00"/>
    <w:rsid w:val="4C8F2B04"/>
    <w:rsid w:val="4C9C397D"/>
    <w:rsid w:val="4CA65793"/>
    <w:rsid w:val="4CEF62E3"/>
    <w:rsid w:val="4D441C8B"/>
    <w:rsid w:val="4D446E15"/>
    <w:rsid w:val="4D8A139E"/>
    <w:rsid w:val="4DFB59B1"/>
    <w:rsid w:val="4E106724"/>
    <w:rsid w:val="4E5B22DE"/>
    <w:rsid w:val="4E660826"/>
    <w:rsid w:val="4E7D4D31"/>
    <w:rsid w:val="4E843E20"/>
    <w:rsid w:val="4EB0159A"/>
    <w:rsid w:val="4F021AA9"/>
    <w:rsid w:val="4F0A5043"/>
    <w:rsid w:val="4F42590E"/>
    <w:rsid w:val="4F445362"/>
    <w:rsid w:val="4F884425"/>
    <w:rsid w:val="4F94106E"/>
    <w:rsid w:val="4FB870F0"/>
    <w:rsid w:val="4FE00A82"/>
    <w:rsid w:val="5025101F"/>
    <w:rsid w:val="508C5CA4"/>
    <w:rsid w:val="50AA3431"/>
    <w:rsid w:val="511901B3"/>
    <w:rsid w:val="51BD79C3"/>
    <w:rsid w:val="52146C75"/>
    <w:rsid w:val="5233668A"/>
    <w:rsid w:val="523577B2"/>
    <w:rsid w:val="52400BAA"/>
    <w:rsid w:val="52504441"/>
    <w:rsid w:val="525F4EEC"/>
    <w:rsid w:val="52E1705F"/>
    <w:rsid w:val="52EC3EDC"/>
    <w:rsid w:val="52FE0D61"/>
    <w:rsid w:val="53151498"/>
    <w:rsid w:val="5316652D"/>
    <w:rsid w:val="53B134B9"/>
    <w:rsid w:val="53BD4A78"/>
    <w:rsid w:val="53D85335"/>
    <w:rsid w:val="53E125BE"/>
    <w:rsid w:val="541235D8"/>
    <w:rsid w:val="544857A9"/>
    <w:rsid w:val="54CA1AED"/>
    <w:rsid w:val="54D61AA4"/>
    <w:rsid w:val="55146BE0"/>
    <w:rsid w:val="55252947"/>
    <w:rsid w:val="5544476F"/>
    <w:rsid w:val="55521368"/>
    <w:rsid w:val="555E1E30"/>
    <w:rsid w:val="557767C5"/>
    <w:rsid w:val="55A354FC"/>
    <w:rsid w:val="55AC3944"/>
    <w:rsid w:val="55BA0F7E"/>
    <w:rsid w:val="563411DE"/>
    <w:rsid w:val="56AD584A"/>
    <w:rsid w:val="573D0259"/>
    <w:rsid w:val="57491234"/>
    <w:rsid w:val="576B687A"/>
    <w:rsid w:val="57874BC1"/>
    <w:rsid w:val="578A33CF"/>
    <w:rsid w:val="57BA6331"/>
    <w:rsid w:val="57CF375B"/>
    <w:rsid w:val="57FA6FE9"/>
    <w:rsid w:val="5807448D"/>
    <w:rsid w:val="581255D7"/>
    <w:rsid w:val="582012C9"/>
    <w:rsid w:val="582C6E15"/>
    <w:rsid w:val="587648D0"/>
    <w:rsid w:val="58A50EA8"/>
    <w:rsid w:val="58D008AE"/>
    <w:rsid w:val="58D278EC"/>
    <w:rsid w:val="58EA62B6"/>
    <w:rsid w:val="591F566B"/>
    <w:rsid w:val="593A29D5"/>
    <w:rsid w:val="596F60AE"/>
    <w:rsid w:val="59B92E76"/>
    <w:rsid w:val="5A03106A"/>
    <w:rsid w:val="5A4F141A"/>
    <w:rsid w:val="5A9E0341"/>
    <w:rsid w:val="5AA1751D"/>
    <w:rsid w:val="5AD65B2F"/>
    <w:rsid w:val="5B2F1EEB"/>
    <w:rsid w:val="5B302BC9"/>
    <w:rsid w:val="5B745643"/>
    <w:rsid w:val="5C263CAD"/>
    <w:rsid w:val="5C4B2E5B"/>
    <w:rsid w:val="5C8578BA"/>
    <w:rsid w:val="5D027E7E"/>
    <w:rsid w:val="5D1D7A39"/>
    <w:rsid w:val="5D2B48B4"/>
    <w:rsid w:val="5D72087C"/>
    <w:rsid w:val="5D844F05"/>
    <w:rsid w:val="5E1B5A81"/>
    <w:rsid w:val="5E70388B"/>
    <w:rsid w:val="5EAA6EE7"/>
    <w:rsid w:val="5EC178AD"/>
    <w:rsid w:val="5ED83037"/>
    <w:rsid w:val="5F070F9B"/>
    <w:rsid w:val="5F220DF6"/>
    <w:rsid w:val="5F300F59"/>
    <w:rsid w:val="5F356E47"/>
    <w:rsid w:val="5FA73456"/>
    <w:rsid w:val="5FAE3AB2"/>
    <w:rsid w:val="5FCF5D35"/>
    <w:rsid w:val="60750064"/>
    <w:rsid w:val="60B91507"/>
    <w:rsid w:val="60D33ED8"/>
    <w:rsid w:val="60F369D1"/>
    <w:rsid w:val="61544EDD"/>
    <w:rsid w:val="616B0C9C"/>
    <w:rsid w:val="61EC4824"/>
    <w:rsid w:val="621356A8"/>
    <w:rsid w:val="62173DFE"/>
    <w:rsid w:val="62215171"/>
    <w:rsid w:val="624B097D"/>
    <w:rsid w:val="62844F25"/>
    <w:rsid w:val="62C06BAA"/>
    <w:rsid w:val="632840DF"/>
    <w:rsid w:val="638B2A58"/>
    <w:rsid w:val="63D6165B"/>
    <w:rsid w:val="64031DD3"/>
    <w:rsid w:val="64084C3D"/>
    <w:rsid w:val="64501F57"/>
    <w:rsid w:val="645475E2"/>
    <w:rsid w:val="6455010A"/>
    <w:rsid w:val="64BC0F7D"/>
    <w:rsid w:val="64C957CC"/>
    <w:rsid w:val="64E91D1B"/>
    <w:rsid w:val="65A83CC5"/>
    <w:rsid w:val="65CC5CF4"/>
    <w:rsid w:val="65E92BE6"/>
    <w:rsid w:val="660A0664"/>
    <w:rsid w:val="660B682D"/>
    <w:rsid w:val="664C3553"/>
    <w:rsid w:val="669354B5"/>
    <w:rsid w:val="66B037DC"/>
    <w:rsid w:val="67027954"/>
    <w:rsid w:val="671125BE"/>
    <w:rsid w:val="6732696D"/>
    <w:rsid w:val="67397F81"/>
    <w:rsid w:val="67451D63"/>
    <w:rsid w:val="678C30B6"/>
    <w:rsid w:val="67E26E3A"/>
    <w:rsid w:val="67E9034C"/>
    <w:rsid w:val="68040FD6"/>
    <w:rsid w:val="68332B3B"/>
    <w:rsid w:val="683F3018"/>
    <w:rsid w:val="684466E8"/>
    <w:rsid w:val="684568B6"/>
    <w:rsid w:val="685B3667"/>
    <w:rsid w:val="68811D39"/>
    <w:rsid w:val="68BD0B09"/>
    <w:rsid w:val="68CB0FED"/>
    <w:rsid w:val="68CD7763"/>
    <w:rsid w:val="68EF79ED"/>
    <w:rsid w:val="68F57855"/>
    <w:rsid w:val="697E5831"/>
    <w:rsid w:val="69D07B34"/>
    <w:rsid w:val="69D96CD0"/>
    <w:rsid w:val="69E14465"/>
    <w:rsid w:val="6A226A53"/>
    <w:rsid w:val="6A231718"/>
    <w:rsid w:val="6A310DD3"/>
    <w:rsid w:val="6A4F4329"/>
    <w:rsid w:val="6AAF66D6"/>
    <w:rsid w:val="6AC67BD3"/>
    <w:rsid w:val="6AF12B3E"/>
    <w:rsid w:val="6B264B6E"/>
    <w:rsid w:val="6B2F57E6"/>
    <w:rsid w:val="6BD924EC"/>
    <w:rsid w:val="6BF0657B"/>
    <w:rsid w:val="6C826573"/>
    <w:rsid w:val="6C8919B8"/>
    <w:rsid w:val="6C9D1375"/>
    <w:rsid w:val="6CE76051"/>
    <w:rsid w:val="6D625E4A"/>
    <w:rsid w:val="6D732D74"/>
    <w:rsid w:val="6DCF61FF"/>
    <w:rsid w:val="6DD469CF"/>
    <w:rsid w:val="6E3755C1"/>
    <w:rsid w:val="6E640DD3"/>
    <w:rsid w:val="6E64260C"/>
    <w:rsid w:val="6E914841"/>
    <w:rsid w:val="6EB1052D"/>
    <w:rsid w:val="6EC317CE"/>
    <w:rsid w:val="6F196966"/>
    <w:rsid w:val="6F4E6508"/>
    <w:rsid w:val="6F4F2037"/>
    <w:rsid w:val="6F852406"/>
    <w:rsid w:val="6F9D6207"/>
    <w:rsid w:val="6FA035D0"/>
    <w:rsid w:val="6FA608C2"/>
    <w:rsid w:val="6FE351F9"/>
    <w:rsid w:val="700E76EA"/>
    <w:rsid w:val="701F7E35"/>
    <w:rsid w:val="703B5125"/>
    <w:rsid w:val="704C3A50"/>
    <w:rsid w:val="70965651"/>
    <w:rsid w:val="70A14AF9"/>
    <w:rsid w:val="70DF2748"/>
    <w:rsid w:val="71064BE9"/>
    <w:rsid w:val="71466510"/>
    <w:rsid w:val="71576811"/>
    <w:rsid w:val="7165235D"/>
    <w:rsid w:val="716F460A"/>
    <w:rsid w:val="71842B48"/>
    <w:rsid w:val="71BD016F"/>
    <w:rsid w:val="71CF0BED"/>
    <w:rsid w:val="71D66846"/>
    <w:rsid w:val="71E54E4B"/>
    <w:rsid w:val="71FC3BE3"/>
    <w:rsid w:val="72292EAA"/>
    <w:rsid w:val="723C3332"/>
    <w:rsid w:val="7252271D"/>
    <w:rsid w:val="726873F0"/>
    <w:rsid w:val="727B46BA"/>
    <w:rsid w:val="729D59B3"/>
    <w:rsid w:val="7313238C"/>
    <w:rsid w:val="73134B95"/>
    <w:rsid w:val="731759FD"/>
    <w:rsid w:val="734164C7"/>
    <w:rsid w:val="73482C71"/>
    <w:rsid w:val="735A62E0"/>
    <w:rsid w:val="74232FD7"/>
    <w:rsid w:val="74611F35"/>
    <w:rsid w:val="74645702"/>
    <w:rsid w:val="746E7275"/>
    <w:rsid w:val="74D80B53"/>
    <w:rsid w:val="751A7E63"/>
    <w:rsid w:val="75400B60"/>
    <w:rsid w:val="754A20F0"/>
    <w:rsid w:val="7558335C"/>
    <w:rsid w:val="756562E8"/>
    <w:rsid w:val="75CD4029"/>
    <w:rsid w:val="76406DC8"/>
    <w:rsid w:val="76AC6A44"/>
    <w:rsid w:val="76B040EE"/>
    <w:rsid w:val="76DB3663"/>
    <w:rsid w:val="778B6418"/>
    <w:rsid w:val="779A0D22"/>
    <w:rsid w:val="77BA0BF1"/>
    <w:rsid w:val="78297DCF"/>
    <w:rsid w:val="78383240"/>
    <w:rsid w:val="785117F9"/>
    <w:rsid w:val="7872306D"/>
    <w:rsid w:val="78AB2481"/>
    <w:rsid w:val="78C863CB"/>
    <w:rsid w:val="792B6181"/>
    <w:rsid w:val="79F43DA8"/>
    <w:rsid w:val="7A3B2D26"/>
    <w:rsid w:val="7A404208"/>
    <w:rsid w:val="7A436452"/>
    <w:rsid w:val="7A6A3136"/>
    <w:rsid w:val="7A9439F5"/>
    <w:rsid w:val="7AFD1570"/>
    <w:rsid w:val="7B134572"/>
    <w:rsid w:val="7B4B064C"/>
    <w:rsid w:val="7B68696E"/>
    <w:rsid w:val="7B6E62FB"/>
    <w:rsid w:val="7BE41DE5"/>
    <w:rsid w:val="7C187EC4"/>
    <w:rsid w:val="7C3507CF"/>
    <w:rsid w:val="7C901A02"/>
    <w:rsid w:val="7CC7607D"/>
    <w:rsid w:val="7CDB5FF9"/>
    <w:rsid w:val="7CEC0651"/>
    <w:rsid w:val="7D3F4DAE"/>
    <w:rsid w:val="7D4A7AE5"/>
    <w:rsid w:val="7D586692"/>
    <w:rsid w:val="7D810E5F"/>
    <w:rsid w:val="7D84768B"/>
    <w:rsid w:val="7DD86538"/>
    <w:rsid w:val="7E0D600E"/>
    <w:rsid w:val="7E2C0DEA"/>
    <w:rsid w:val="7E2D0B3F"/>
    <w:rsid w:val="7E341C7F"/>
    <w:rsid w:val="7E6836D6"/>
    <w:rsid w:val="7E8B6D03"/>
    <w:rsid w:val="7EF51962"/>
    <w:rsid w:val="7F0C52FA"/>
    <w:rsid w:val="7FC254AE"/>
    <w:rsid w:val="7FF20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Normal Indent"/>
    <w:basedOn w:val="1"/>
    <w:next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character" w:styleId="13">
    <w:name w:val="FollowedHyperlink"/>
    <w:basedOn w:val="10"/>
    <w:semiHidden/>
    <w:unhideWhenUsed/>
    <w:qFormat/>
    <w:uiPriority w:val="99"/>
    <w:rPr>
      <w:color w:val="337AB7"/>
      <w:u w:val="none"/>
    </w:rPr>
  </w:style>
  <w:style w:type="character" w:styleId="14">
    <w:name w:val="HTML Definition"/>
    <w:basedOn w:val="10"/>
    <w:semiHidden/>
    <w:unhideWhenUsed/>
    <w:qFormat/>
    <w:uiPriority w:val="99"/>
    <w:rPr>
      <w:i/>
    </w:rPr>
  </w:style>
  <w:style w:type="character" w:styleId="15">
    <w:name w:val="Hyperlink"/>
    <w:basedOn w:val="10"/>
    <w:semiHidden/>
    <w:unhideWhenUsed/>
    <w:qFormat/>
    <w:uiPriority w:val="99"/>
    <w:rPr>
      <w:color w:val="337AB7"/>
      <w:u w:val="none"/>
    </w:rPr>
  </w:style>
  <w:style w:type="character" w:styleId="16">
    <w:name w:val="HTML Code"/>
    <w:basedOn w:val="10"/>
    <w:semiHidden/>
    <w:unhideWhenUsed/>
    <w:qFormat/>
    <w:uiPriority w:val="99"/>
    <w:rPr>
      <w:rFonts w:ascii="Consolas" w:hAnsi="Consolas" w:eastAsia="Consolas" w:cs="Consolas"/>
      <w:color w:val="C7254E"/>
      <w:sz w:val="21"/>
      <w:szCs w:val="21"/>
      <w:shd w:val="clear" w:fill="F9F2F4"/>
    </w:rPr>
  </w:style>
  <w:style w:type="character" w:styleId="17">
    <w:name w:val="HTML Keyboard"/>
    <w:basedOn w:val="10"/>
    <w:semiHidden/>
    <w:unhideWhenUsed/>
    <w:qFormat/>
    <w:uiPriority w:val="99"/>
    <w:rPr>
      <w:rFonts w:hint="default" w:ascii="Consolas" w:hAnsi="Consolas" w:eastAsia="Consolas" w:cs="Consolas"/>
      <w:color w:val="FFFFFF"/>
      <w:sz w:val="21"/>
      <w:szCs w:val="21"/>
      <w:shd w:val="clear" w:fill="333333"/>
    </w:rPr>
  </w:style>
  <w:style w:type="character" w:styleId="18">
    <w:name w:val="HTML Sample"/>
    <w:basedOn w:val="10"/>
    <w:semiHidden/>
    <w:unhideWhenUsed/>
    <w:qFormat/>
    <w:uiPriority w:val="99"/>
    <w:rPr>
      <w:rFonts w:hint="default" w:ascii="Consolas" w:hAnsi="Consolas" w:eastAsia="Consolas" w:cs="Consolas"/>
      <w:sz w:val="21"/>
      <w:szCs w:val="21"/>
    </w:rPr>
  </w:style>
  <w:style w:type="paragraph" w:customStyle="1" w:styleId="19">
    <w:name w:val="_Style 1"/>
    <w:basedOn w:val="20"/>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20">
    <w:name w:val="正文 New New New New New New New New New New New New New New New New New New New New New New New New New New New New New New New"/>
    <w:next w:val="19"/>
    <w:qFormat/>
    <w:uiPriority w:val="0"/>
    <w:pPr>
      <w:widowControl w:val="0"/>
      <w:jc w:val="both"/>
    </w:pPr>
    <w:rPr>
      <w:rFonts w:ascii="Calibri" w:hAnsi="Calibri" w:eastAsia="宋体" w:cs="黑体"/>
      <w:kern w:val="2"/>
      <w:sz w:val="21"/>
      <w:szCs w:val="22"/>
      <w:lang w:val="en-US" w:eastAsia="zh-CN" w:bidi="ar-SA"/>
    </w:rPr>
  </w:style>
  <w:style w:type="paragraph" w:customStyle="1" w:styleId="21">
    <w:name w:val="批注文字 New New"/>
    <w:basedOn w:val="1"/>
    <w:qFormat/>
    <w:uiPriority w:val="0"/>
    <w:pPr>
      <w:jc w:val="left"/>
    </w:pPr>
    <w:rPr>
      <w:szCs w:val="20"/>
    </w:rPr>
  </w:style>
  <w:style w:type="character" w:customStyle="1" w:styleId="22">
    <w:name w:val="页眉 Char"/>
    <w:basedOn w:val="10"/>
    <w:link w:val="7"/>
    <w:semiHidden/>
    <w:qFormat/>
    <w:uiPriority w:val="99"/>
    <w:rPr>
      <w:rFonts w:ascii="Times New Roman" w:hAnsi="Times New Roman" w:eastAsia="宋体" w:cs="Times New Roman"/>
      <w:sz w:val="18"/>
      <w:szCs w:val="18"/>
    </w:rPr>
  </w:style>
  <w:style w:type="character" w:customStyle="1" w:styleId="23">
    <w:name w:val="页脚 Char"/>
    <w:basedOn w:val="10"/>
    <w:link w:val="6"/>
    <w:qFormat/>
    <w:uiPriority w:val="99"/>
    <w:rPr>
      <w:rFonts w:ascii="Times New Roman" w:hAnsi="Times New Roman" w:eastAsia="宋体" w:cs="Times New Roman"/>
      <w:sz w:val="18"/>
      <w:szCs w:val="18"/>
    </w:rPr>
  </w:style>
  <w:style w:type="paragraph" w:customStyle="1" w:styleId="24">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actspan"/>
    <w:basedOn w:val="10"/>
    <w:qFormat/>
    <w:uiPriority w:val="0"/>
  </w:style>
  <w:style w:type="character" w:customStyle="1" w:styleId="27">
    <w:name w:val="layui-layer-tabnow"/>
    <w:basedOn w:val="10"/>
    <w:qFormat/>
    <w:uiPriority w:val="0"/>
    <w:rPr>
      <w:bdr w:val="single" w:color="CCCCCC" w:sz="6" w:space="0"/>
      <w:shd w:val="clear" w:fill="FFFFFF"/>
    </w:rPr>
  </w:style>
  <w:style w:type="character" w:customStyle="1" w:styleId="28">
    <w:name w:val="first-child"/>
    <w:basedOn w:val="10"/>
    <w:qFormat/>
    <w:uiPriority w:val="0"/>
  </w:style>
  <w:style w:type="paragraph" w:customStyle="1" w:styleId="29">
    <w:name w:val="我的正文"/>
    <w:basedOn w:val="30"/>
    <w:qFormat/>
    <w:uiPriority w:val="0"/>
    <w:pPr>
      <w:spacing w:line="560" w:lineRule="exact"/>
      <w:ind w:firstLine="200" w:firstLineChars="200"/>
    </w:pPr>
    <w:rPr>
      <w:rFonts w:eastAsia="仿宋_GB2312"/>
      <w:sz w:val="32"/>
      <w:szCs w:val="32"/>
    </w:rPr>
  </w:style>
  <w:style w:type="paragraph" w:customStyle="1" w:styleId="30">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31">
    <w:name w:val="actspan2"/>
    <w:basedOn w:val="10"/>
    <w:qFormat/>
    <w:uiPriority w:val="0"/>
  </w:style>
  <w:style w:type="paragraph" w:customStyle="1" w:styleId="32">
    <w:name w:val="p0"/>
    <w:basedOn w:val="1"/>
    <w:qFormat/>
    <w:uiPriority w:val="0"/>
    <w:pPr>
      <w:widowControl/>
    </w:pPr>
    <w:rPr>
      <w:kern w:val="0"/>
      <w:szCs w:val="21"/>
    </w:rPr>
  </w:style>
  <w:style w:type="paragraph" w:customStyle="1" w:styleId="33">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4">
    <w:name w:val="Tabl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35">
    <w:name w:val="Other|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6">
    <w:name w:val="Other|2"/>
    <w:basedOn w:val="1"/>
    <w:qFormat/>
    <w:uiPriority w:val="0"/>
    <w:pPr>
      <w:widowControl w:val="0"/>
      <w:shd w:val="clear" w:color="auto" w:fill="auto"/>
      <w:spacing w:before="160" w:line="230" w:lineRule="exact"/>
      <w:jc w:val="center"/>
    </w:pPr>
    <w:rPr>
      <w:rFonts w:ascii="宋体" w:hAnsi="宋体" w:eastAsia="宋体" w:cs="宋体"/>
      <w:sz w:val="22"/>
      <w:szCs w:val="22"/>
      <w:u w:val="none"/>
      <w:shd w:val="clear" w:color="auto" w:fill="auto"/>
      <w:lang w:val="zh-TW" w:eastAsia="zh-TW" w:bidi="zh-TW"/>
    </w:rPr>
  </w:style>
  <w:style w:type="paragraph" w:customStyle="1" w:styleId="37">
    <w:name w:val="Header or footer|1"/>
    <w:basedOn w:val="1"/>
    <w:qFormat/>
    <w:uiPriority w:val="0"/>
    <w:pPr>
      <w:widowControl w:val="0"/>
      <w:shd w:val="clear" w:color="auto" w:fill="auto"/>
    </w:pPr>
    <w:rPr>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3722</Words>
  <Characters>4122</Characters>
  <Lines>27</Lines>
  <Paragraphs>7</Paragraphs>
  <TotalTime>62</TotalTime>
  <ScaleCrop>false</ScaleCrop>
  <LinksUpToDate>false</LinksUpToDate>
  <CharactersWithSpaces>4188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欧阳海棠</cp:lastModifiedBy>
  <cp:lastPrinted>2022-11-04T12:19:00Z</cp:lastPrinted>
  <dcterms:modified xsi:type="dcterms:W3CDTF">2022-11-04T13:10:55Z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E68A3E06C5EE4AEB98BAD4DF240D96FA</vt:lpwstr>
  </property>
</Properties>
</file>